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3F" w:rsidRDefault="00D46E3F">
      <w:bookmarkStart w:id="0" w:name="_GoBack"/>
      <w:bookmarkEnd w:id="0"/>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7020"/>
      </w:tblGrid>
      <w:tr w:rsidR="00D46E3F">
        <w:tc>
          <w:tcPr>
            <w:tcW w:w="3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6E3F" w:rsidRDefault="000C4310">
            <w:pPr>
              <w:widowControl w:val="0"/>
              <w:spacing w:line="240" w:lineRule="auto"/>
              <w:rPr>
                <w:sz w:val="24"/>
                <w:szCs w:val="24"/>
              </w:rPr>
            </w:pPr>
            <w:r>
              <w:rPr>
                <w:noProof/>
                <w:sz w:val="24"/>
                <w:szCs w:val="24"/>
                <w:lang w:val="en-US"/>
              </w:rPr>
              <w:drawing>
                <wp:inline distT="114300" distB="114300" distL="114300" distR="114300">
                  <wp:extent cx="1704975" cy="715328"/>
                  <wp:effectExtent l="0" t="0" r="0" b="0"/>
                  <wp:docPr id="2" name="image4.png" descr="NGPF_LG.png"/>
                  <wp:cNvGraphicFramePr/>
                  <a:graphic xmlns:a="http://schemas.openxmlformats.org/drawingml/2006/main">
                    <a:graphicData uri="http://schemas.openxmlformats.org/drawingml/2006/picture">
                      <pic:pic xmlns:pic="http://schemas.openxmlformats.org/drawingml/2006/picture">
                        <pic:nvPicPr>
                          <pic:cNvPr id="0" name="image4.png" descr="NGPF_LG.png"/>
                          <pic:cNvPicPr preferRelativeResize="0"/>
                        </pic:nvPicPr>
                        <pic:blipFill>
                          <a:blip r:embed="rId7"/>
                          <a:srcRect/>
                          <a:stretch>
                            <a:fillRect/>
                          </a:stretch>
                        </pic:blipFill>
                        <pic:spPr>
                          <a:xfrm>
                            <a:off x="0" y="0"/>
                            <a:ext cx="1704975" cy="715328"/>
                          </a:xfrm>
                          <a:prstGeom prst="rect">
                            <a:avLst/>
                          </a:prstGeom>
                          <a:ln/>
                        </pic:spPr>
                      </pic:pic>
                    </a:graphicData>
                  </a:graphic>
                </wp:inline>
              </w:drawing>
            </w:r>
          </w:p>
        </w:tc>
        <w:tc>
          <w:tcPr>
            <w:tcW w:w="70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46E3F" w:rsidRDefault="000C4310">
            <w:pPr>
              <w:spacing w:line="240" w:lineRule="auto"/>
              <w:jc w:val="right"/>
              <w:rPr>
                <w:rFonts w:ascii="Calibri" w:eastAsia="Calibri" w:hAnsi="Calibri" w:cs="Calibri"/>
                <w:color w:val="0C4599"/>
                <w:sz w:val="24"/>
                <w:szCs w:val="24"/>
              </w:rPr>
            </w:pPr>
            <w:r>
              <w:rPr>
                <w:rFonts w:ascii="Calibri" w:eastAsia="Calibri" w:hAnsi="Calibri" w:cs="Calibri"/>
                <w:i/>
                <w:color w:val="0C4599"/>
                <w:sz w:val="24"/>
                <w:szCs w:val="24"/>
              </w:rPr>
              <w:t>How Do Sales Taxes Compare Among States?</w:t>
            </w:r>
          </w:p>
          <w:p w:rsidR="00D46E3F" w:rsidRDefault="000C4310">
            <w:pPr>
              <w:pStyle w:val="Heading2"/>
              <w:widowControl w:val="0"/>
              <w:spacing w:before="0" w:after="0" w:line="240" w:lineRule="auto"/>
              <w:jc w:val="right"/>
              <w:rPr>
                <w:rFonts w:ascii="Calibri" w:eastAsia="Calibri" w:hAnsi="Calibri" w:cs="Calibri"/>
                <w:i/>
                <w:color w:val="999999"/>
                <w:sz w:val="24"/>
                <w:szCs w:val="24"/>
              </w:rPr>
            </w:pPr>
            <w:bookmarkStart w:id="1" w:name="_xteg38qxi6qq" w:colFirst="0" w:colLast="0"/>
            <w:bookmarkEnd w:id="1"/>
            <w:r>
              <w:rPr>
                <w:rFonts w:ascii="Calibri" w:eastAsia="Calibri" w:hAnsi="Calibri" w:cs="Calibri"/>
                <w:i/>
                <w:color w:val="999999"/>
                <w:sz w:val="24"/>
                <w:szCs w:val="24"/>
              </w:rPr>
              <w:t>Data Crunch</w:t>
            </w:r>
          </w:p>
          <w:p w:rsidR="00D46E3F" w:rsidRDefault="000C4310">
            <w:pPr>
              <w:spacing w:line="240" w:lineRule="auto"/>
              <w:jc w:val="right"/>
              <w:rPr>
                <w:sz w:val="24"/>
                <w:szCs w:val="24"/>
              </w:rPr>
            </w:pPr>
            <w:r>
              <w:rPr>
                <w:rFonts w:ascii="Calibri" w:eastAsia="Calibri" w:hAnsi="Calibri" w:cs="Calibri"/>
                <w:i/>
                <w:color w:val="999999"/>
                <w:sz w:val="24"/>
                <w:szCs w:val="24"/>
              </w:rPr>
              <w:t>Taxes #5</w:t>
            </w:r>
          </w:p>
        </w:tc>
      </w:tr>
    </w:tbl>
    <w:p w:rsidR="00D46E3F" w:rsidRDefault="00D46E3F">
      <w:pPr>
        <w:widowControl w:val="0"/>
        <w:spacing w:line="240" w:lineRule="auto"/>
        <w:rPr>
          <w:rFonts w:ascii="Calibri" w:eastAsia="Calibri" w:hAnsi="Calibri" w:cs="Calibri"/>
          <w:b/>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46E3F">
        <w:trPr>
          <w:trHeight w:val="440"/>
        </w:trPr>
        <w:tc>
          <w:tcPr>
            <w:tcW w:w="5400" w:type="dxa"/>
            <w:vMerge w:val="restart"/>
            <w:shd w:val="clear" w:color="auto" w:fill="auto"/>
            <w:tcMar>
              <w:top w:w="100" w:type="dxa"/>
              <w:left w:w="100" w:type="dxa"/>
              <w:bottom w:w="100" w:type="dxa"/>
              <w:right w:w="100" w:type="dxa"/>
            </w:tcMar>
          </w:tcPr>
          <w:p w:rsidR="00D46E3F" w:rsidRDefault="000C4310">
            <w:pPr>
              <w:widowControl w:val="0"/>
              <w:spacing w:line="240" w:lineRule="auto"/>
              <w:jc w:val="center"/>
              <w:rPr>
                <w:rFonts w:ascii="Calibri" w:eastAsia="Calibri" w:hAnsi="Calibri" w:cs="Calibri"/>
                <w:b/>
              </w:rPr>
            </w:pPr>
            <w:r>
              <w:rPr>
                <w:noProof/>
                <w:sz w:val="24"/>
                <w:szCs w:val="24"/>
                <w:lang w:val="en-US"/>
              </w:rPr>
              <w:drawing>
                <wp:inline distT="114300" distB="114300" distL="114300" distR="114300">
                  <wp:extent cx="3295650" cy="64262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295650" cy="6426200"/>
                          </a:xfrm>
                          <a:prstGeom prst="rect">
                            <a:avLst/>
                          </a:prstGeom>
                          <a:ln/>
                        </pic:spPr>
                      </pic:pic>
                    </a:graphicData>
                  </a:graphic>
                </wp:inline>
              </w:drawing>
            </w:r>
          </w:p>
        </w:tc>
        <w:tc>
          <w:tcPr>
            <w:tcW w:w="5400" w:type="dxa"/>
            <w:shd w:val="clear" w:color="auto" w:fill="auto"/>
            <w:tcMar>
              <w:top w:w="100" w:type="dxa"/>
              <w:left w:w="100" w:type="dxa"/>
              <w:bottom w:w="100" w:type="dxa"/>
              <w:right w:w="100" w:type="dxa"/>
            </w:tcMar>
          </w:tcPr>
          <w:p w:rsidR="00D46E3F" w:rsidRDefault="000C4310">
            <w:pPr>
              <w:widowControl w:val="0"/>
              <w:numPr>
                <w:ilvl w:val="0"/>
                <w:numId w:val="1"/>
              </w:numPr>
              <w:spacing w:line="240" w:lineRule="auto"/>
              <w:contextualSpacing/>
              <w:rPr>
                <w:rFonts w:ascii="Calibri" w:eastAsia="Calibri" w:hAnsi="Calibri" w:cs="Calibri"/>
              </w:rPr>
            </w:pPr>
            <w:r>
              <w:rPr>
                <w:rFonts w:ascii="Calibri" w:eastAsia="Calibri" w:hAnsi="Calibri" w:cs="Calibri"/>
                <w:b/>
              </w:rPr>
              <w:t xml:space="preserve">What is the average sales tax rate paid by citizens of your state? </w:t>
            </w:r>
          </w:p>
          <w:p w:rsidR="00D46E3F" w:rsidRDefault="00D46E3F">
            <w:pPr>
              <w:widowControl w:val="0"/>
              <w:spacing w:line="240" w:lineRule="auto"/>
              <w:rPr>
                <w:rFonts w:ascii="Calibri" w:eastAsia="Calibri" w:hAnsi="Calibri" w:cs="Calibri"/>
                <w:color w:val="FF0000"/>
              </w:rPr>
            </w:pPr>
          </w:p>
          <w:p w:rsidR="00D46E3F" w:rsidRDefault="00D46E3F">
            <w:pPr>
              <w:widowControl w:val="0"/>
              <w:spacing w:line="240" w:lineRule="auto"/>
              <w:rPr>
                <w:rFonts w:ascii="Calibri" w:eastAsia="Calibri" w:hAnsi="Calibri" w:cs="Calibri"/>
                <w:b/>
              </w:rPr>
            </w:pPr>
          </w:p>
          <w:p w:rsidR="00D46E3F" w:rsidRDefault="000C4310">
            <w:pPr>
              <w:widowControl w:val="0"/>
              <w:spacing w:line="240" w:lineRule="auto"/>
              <w:rPr>
                <w:rFonts w:ascii="Calibri" w:eastAsia="Calibri" w:hAnsi="Calibri" w:cs="Calibri"/>
                <w:b/>
                <w:sz w:val="12"/>
                <w:szCs w:val="12"/>
              </w:rPr>
            </w:pPr>
            <w:r>
              <w:rPr>
                <w:rFonts w:ascii="Calibri" w:eastAsia="Calibri" w:hAnsi="Calibri" w:cs="Calibri"/>
                <w:b/>
                <w:sz w:val="12"/>
                <w:szCs w:val="12"/>
              </w:rPr>
              <w:t>DOK 1</w:t>
            </w:r>
          </w:p>
        </w:tc>
      </w:tr>
      <w:tr w:rsidR="00D46E3F">
        <w:trPr>
          <w:trHeight w:val="420"/>
        </w:trPr>
        <w:tc>
          <w:tcPr>
            <w:tcW w:w="5400" w:type="dxa"/>
            <w:vMerge/>
            <w:shd w:val="clear" w:color="auto" w:fill="auto"/>
            <w:tcMar>
              <w:top w:w="100" w:type="dxa"/>
              <w:left w:w="100" w:type="dxa"/>
              <w:bottom w:w="100" w:type="dxa"/>
              <w:right w:w="100" w:type="dxa"/>
            </w:tcMar>
          </w:tcPr>
          <w:p w:rsidR="00D46E3F" w:rsidRDefault="00D46E3F">
            <w:pPr>
              <w:widowControl w:val="0"/>
              <w:spacing w:line="240" w:lineRule="auto"/>
              <w:rPr>
                <w:rFonts w:ascii="Calibri" w:eastAsia="Calibri" w:hAnsi="Calibri" w:cs="Calibri"/>
                <w:b/>
              </w:rPr>
            </w:pPr>
          </w:p>
        </w:tc>
        <w:tc>
          <w:tcPr>
            <w:tcW w:w="5400" w:type="dxa"/>
            <w:shd w:val="clear" w:color="auto" w:fill="auto"/>
            <w:tcMar>
              <w:top w:w="100" w:type="dxa"/>
              <w:left w:w="100" w:type="dxa"/>
              <w:bottom w:w="100" w:type="dxa"/>
              <w:right w:w="100" w:type="dxa"/>
            </w:tcMar>
          </w:tcPr>
          <w:p w:rsidR="00D46E3F" w:rsidRDefault="000C4310">
            <w:pPr>
              <w:widowControl w:val="0"/>
              <w:numPr>
                <w:ilvl w:val="0"/>
                <w:numId w:val="1"/>
              </w:numPr>
              <w:spacing w:line="240" w:lineRule="auto"/>
              <w:contextualSpacing/>
              <w:rPr>
                <w:rFonts w:ascii="Calibri" w:eastAsia="Calibri" w:hAnsi="Calibri" w:cs="Calibri"/>
              </w:rPr>
            </w:pPr>
            <w:r>
              <w:rPr>
                <w:rFonts w:ascii="Calibri" w:eastAsia="Calibri" w:hAnsi="Calibri" w:cs="Calibri"/>
                <w:b/>
              </w:rPr>
              <w:t xml:space="preserve">In which states is there no statewide sales tax? </w:t>
            </w:r>
          </w:p>
          <w:p w:rsidR="00D46E3F" w:rsidRDefault="00D46E3F">
            <w:pPr>
              <w:widowControl w:val="0"/>
              <w:spacing w:line="240" w:lineRule="auto"/>
              <w:rPr>
                <w:rFonts w:ascii="Calibri" w:eastAsia="Calibri" w:hAnsi="Calibri" w:cs="Calibri"/>
              </w:rPr>
            </w:pPr>
          </w:p>
          <w:p w:rsidR="00D46E3F" w:rsidRDefault="00D46E3F">
            <w:pPr>
              <w:widowControl w:val="0"/>
              <w:spacing w:line="240" w:lineRule="auto"/>
              <w:rPr>
                <w:rFonts w:ascii="Calibri" w:eastAsia="Calibri" w:hAnsi="Calibri" w:cs="Calibri"/>
              </w:rPr>
            </w:pPr>
          </w:p>
          <w:p w:rsidR="00D46E3F" w:rsidRDefault="00D46E3F">
            <w:pPr>
              <w:widowControl w:val="0"/>
              <w:spacing w:line="240" w:lineRule="auto"/>
              <w:rPr>
                <w:rFonts w:ascii="Calibri" w:eastAsia="Calibri" w:hAnsi="Calibri" w:cs="Calibri"/>
              </w:rPr>
            </w:pPr>
          </w:p>
          <w:p w:rsidR="00D46E3F" w:rsidRDefault="00D46E3F">
            <w:pPr>
              <w:widowControl w:val="0"/>
              <w:spacing w:line="240" w:lineRule="auto"/>
              <w:rPr>
                <w:rFonts w:ascii="Calibri" w:eastAsia="Calibri" w:hAnsi="Calibri" w:cs="Calibri"/>
              </w:rPr>
            </w:pPr>
          </w:p>
          <w:p w:rsidR="00D46E3F" w:rsidRDefault="000C4310">
            <w:pPr>
              <w:widowControl w:val="0"/>
              <w:spacing w:line="240" w:lineRule="auto"/>
              <w:rPr>
                <w:rFonts w:ascii="Calibri" w:eastAsia="Calibri" w:hAnsi="Calibri" w:cs="Calibri"/>
                <w:sz w:val="12"/>
                <w:szCs w:val="12"/>
              </w:rPr>
            </w:pPr>
            <w:r>
              <w:rPr>
                <w:rFonts w:ascii="Calibri" w:eastAsia="Calibri" w:hAnsi="Calibri" w:cs="Calibri"/>
                <w:sz w:val="12"/>
                <w:szCs w:val="12"/>
              </w:rPr>
              <w:t>DOK 1</w:t>
            </w:r>
          </w:p>
        </w:tc>
      </w:tr>
      <w:tr w:rsidR="00D46E3F">
        <w:trPr>
          <w:trHeight w:val="420"/>
        </w:trPr>
        <w:tc>
          <w:tcPr>
            <w:tcW w:w="5400" w:type="dxa"/>
            <w:vMerge/>
            <w:shd w:val="clear" w:color="auto" w:fill="auto"/>
            <w:tcMar>
              <w:top w:w="100" w:type="dxa"/>
              <w:left w:w="100" w:type="dxa"/>
              <w:bottom w:w="100" w:type="dxa"/>
              <w:right w:w="100" w:type="dxa"/>
            </w:tcMar>
          </w:tcPr>
          <w:p w:rsidR="00D46E3F" w:rsidRDefault="00D46E3F">
            <w:pPr>
              <w:widowControl w:val="0"/>
              <w:spacing w:line="240" w:lineRule="auto"/>
              <w:rPr>
                <w:rFonts w:ascii="Calibri" w:eastAsia="Calibri" w:hAnsi="Calibri" w:cs="Calibri"/>
                <w:b/>
              </w:rPr>
            </w:pPr>
          </w:p>
        </w:tc>
        <w:tc>
          <w:tcPr>
            <w:tcW w:w="5400" w:type="dxa"/>
            <w:shd w:val="clear" w:color="auto" w:fill="auto"/>
            <w:tcMar>
              <w:top w:w="100" w:type="dxa"/>
              <w:left w:w="100" w:type="dxa"/>
              <w:bottom w:w="100" w:type="dxa"/>
              <w:right w:w="100" w:type="dxa"/>
            </w:tcMar>
          </w:tcPr>
          <w:p w:rsidR="00D46E3F" w:rsidRDefault="000C4310">
            <w:pPr>
              <w:widowControl w:val="0"/>
              <w:numPr>
                <w:ilvl w:val="0"/>
                <w:numId w:val="1"/>
              </w:numPr>
              <w:spacing w:line="240" w:lineRule="auto"/>
              <w:contextualSpacing/>
              <w:rPr>
                <w:rFonts w:ascii="Calibri" w:eastAsia="Calibri" w:hAnsi="Calibri" w:cs="Calibri"/>
              </w:rPr>
            </w:pPr>
            <w:r>
              <w:rPr>
                <w:rFonts w:ascii="Calibri" w:eastAsia="Calibri" w:hAnsi="Calibri" w:cs="Calibri"/>
                <w:b/>
              </w:rPr>
              <w:t xml:space="preserve">Compare the total average cost of a $100 purchase in Louisiana with the same purchase made in Georgia. </w:t>
            </w:r>
          </w:p>
          <w:p w:rsidR="00D46E3F" w:rsidRDefault="000C4310">
            <w:pPr>
              <w:widowControl w:val="0"/>
              <w:spacing w:line="240" w:lineRule="auto"/>
              <w:rPr>
                <w:rFonts w:ascii="Calibri" w:eastAsia="Calibri" w:hAnsi="Calibri" w:cs="Calibri"/>
                <w:b/>
              </w:rPr>
            </w:pPr>
            <w:r>
              <w:rPr>
                <w:rFonts w:ascii="Calibri" w:eastAsia="Calibri" w:hAnsi="Calibri" w:cs="Calibri"/>
                <w:b/>
              </w:rPr>
              <w:t xml:space="preserve"> </w:t>
            </w:r>
          </w:p>
          <w:p w:rsidR="00D46E3F" w:rsidRDefault="00D46E3F">
            <w:pPr>
              <w:widowControl w:val="0"/>
              <w:spacing w:line="240" w:lineRule="auto"/>
              <w:rPr>
                <w:rFonts w:ascii="Calibri" w:eastAsia="Calibri" w:hAnsi="Calibri" w:cs="Calibri"/>
                <w:b/>
              </w:rPr>
            </w:pPr>
          </w:p>
          <w:p w:rsidR="00D46E3F" w:rsidRDefault="00D46E3F">
            <w:pPr>
              <w:widowControl w:val="0"/>
              <w:spacing w:line="240" w:lineRule="auto"/>
              <w:rPr>
                <w:rFonts w:ascii="Calibri" w:eastAsia="Calibri" w:hAnsi="Calibri" w:cs="Calibri"/>
                <w:b/>
              </w:rPr>
            </w:pPr>
          </w:p>
          <w:p w:rsidR="00D46E3F" w:rsidRDefault="00D46E3F">
            <w:pPr>
              <w:widowControl w:val="0"/>
              <w:spacing w:line="240" w:lineRule="auto"/>
              <w:rPr>
                <w:rFonts w:ascii="Calibri" w:eastAsia="Calibri" w:hAnsi="Calibri" w:cs="Calibri"/>
                <w:b/>
              </w:rPr>
            </w:pPr>
          </w:p>
          <w:p w:rsidR="00D46E3F" w:rsidRDefault="00D46E3F">
            <w:pPr>
              <w:widowControl w:val="0"/>
              <w:spacing w:line="240" w:lineRule="auto"/>
              <w:rPr>
                <w:rFonts w:ascii="Calibri" w:eastAsia="Calibri" w:hAnsi="Calibri" w:cs="Calibri"/>
                <w:b/>
              </w:rPr>
            </w:pPr>
          </w:p>
          <w:p w:rsidR="00D46E3F" w:rsidRDefault="00D46E3F">
            <w:pPr>
              <w:widowControl w:val="0"/>
              <w:spacing w:line="240" w:lineRule="auto"/>
              <w:rPr>
                <w:rFonts w:ascii="Calibri" w:eastAsia="Calibri" w:hAnsi="Calibri" w:cs="Calibri"/>
                <w:b/>
              </w:rPr>
            </w:pPr>
          </w:p>
          <w:p w:rsidR="00D46E3F" w:rsidRDefault="00D46E3F">
            <w:pPr>
              <w:widowControl w:val="0"/>
              <w:spacing w:line="240" w:lineRule="auto"/>
              <w:rPr>
                <w:rFonts w:ascii="Calibri" w:eastAsia="Calibri" w:hAnsi="Calibri" w:cs="Calibri"/>
                <w:b/>
              </w:rPr>
            </w:pPr>
          </w:p>
          <w:p w:rsidR="00D46E3F" w:rsidRDefault="000C4310">
            <w:pPr>
              <w:widowControl w:val="0"/>
              <w:spacing w:line="240" w:lineRule="auto"/>
              <w:rPr>
                <w:rFonts w:ascii="Calibri" w:eastAsia="Calibri" w:hAnsi="Calibri" w:cs="Calibri"/>
                <w:b/>
              </w:rPr>
            </w:pPr>
            <w:r>
              <w:rPr>
                <w:rFonts w:ascii="Calibri" w:eastAsia="Calibri" w:hAnsi="Calibri" w:cs="Calibri"/>
                <w:b/>
                <w:sz w:val="12"/>
                <w:szCs w:val="12"/>
              </w:rPr>
              <w:t>DOK 2</w:t>
            </w:r>
          </w:p>
        </w:tc>
      </w:tr>
      <w:tr w:rsidR="00D46E3F">
        <w:trPr>
          <w:trHeight w:val="420"/>
        </w:trPr>
        <w:tc>
          <w:tcPr>
            <w:tcW w:w="5400" w:type="dxa"/>
            <w:vMerge/>
            <w:shd w:val="clear" w:color="auto" w:fill="auto"/>
            <w:tcMar>
              <w:top w:w="100" w:type="dxa"/>
              <w:left w:w="100" w:type="dxa"/>
              <w:bottom w:w="100" w:type="dxa"/>
              <w:right w:w="100" w:type="dxa"/>
            </w:tcMar>
          </w:tcPr>
          <w:p w:rsidR="00D46E3F" w:rsidRDefault="00D46E3F">
            <w:pPr>
              <w:widowControl w:val="0"/>
              <w:spacing w:line="240" w:lineRule="auto"/>
              <w:rPr>
                <w:rFonts w:ascii="Calibri" w:eastAsia="Calibri" w:hAnsi="Calibri" w:cs="Calibri"/>
                <w:b/>
              </w:rPr>
            </w:pPr>
          </w:p>
        </w:tc>
        <w:tc>
          <w:tcPr>
            <w:tcW w:w="5400" w:type="dxa"/>
            <w:shd w:val="clear" w:color="auto" w:fill="auto"/>
            <w:tcMar>
              <w:top w:w="100" w:type="dxa"/>
              <w:left w:w="100" w:type="dxa"/>
              <w:bottom w:w="100" w:type="dxa"/>
              <w:right w:w="100" w:type="dxa"/>
            </w:tcMar>
          </w:tcPr>
          <w:p w:rsidR="00D46E3F" w:rsidRDefault="000C4310">
            <w:pPr>
              <w:widowControl w:val="0"/>
              <w:numPr>
                <w:ilvl w:val="0"/>
                <w:numId w:val="1"/>
              </w:numPr>
              <w:spacing w:line="240" w:lineRule="auto"/>
              <w:contextualSpacing/>
              <w:rPr>
                <w:rFonts w:ascii="Calibri" w:eastAsia="Calibri" w:hAnsi="Calibri" w:cs="Calibri"/>
              </w:rPr>
            </w:pPr>
            <w:r>
              <w:rPr>
                <w:rFonts w:ascii="Calibri" w:eastAsia="Calibri" w:hAnsi="Calibri" w:cs="Calibri"/>
                <w:b/>
              </w:rPr>
              <w:t>What can you infer about tax law in a state such as Indiana, Connecticut, or Michigan?</w:t>
            </w:r>
          </w:p>
          <w:p w:rsidR="00D46E3F" w:rsidRDefault="00D46E3F">
            <w:pPr>
              <w:widowControl w:val="0"/>
              <w:spacing w:line="240" w:lineRule="auto"/>
              <w:rPr>
                <w:rFonts w:ascii="Calibri" w:eastAsia="Calibri" w:hAnsi="Calibri" w:cs="Calibri"/>
                <w:b/>
              </w:rPr>
            </w:pPr>
          </w:p>
          <w:p w:rsidR="00D46E3F" w:rsidRDefault="00D46E3F">
            <w:pPr>
              <w:widowControl w:val="0"/>
              <w:spacing w:line="240" w:lineRule="auto"/>
              <w:rPr>
                <w:rFonts w:ascii="Calibri" w:eastAsia="Calibri" w:hAnsi="Calibri" w:cs="Calibri"/>
                <w:b/>
              </w:rPr>
            </w:pPr>
          </w:p>
          <w:p w:rsidR="00D46E3F" w:rsidRDefault="00D46E3F">
            <w:pPr>
              <w:widowControl w:val="0"/>
              <w:spacing w:line="240" w:lineRule="auto"/>
              <w:rPr>
                <w:rFonts w:ascii="Calibri" w:eastAsia="Calibri" w:hAnsi="Calibri" w:cs="Calibri"/>
                <w:b/>
              </w:rPr>
            </w:pPr>
          </w:p>
          <w:p w:rsidR="00D46E3F" w:rsidRDefault="00D46E3F">
            <w:pPr>
              <w:widowControl w:val="0"/>
              <w:spacing w:line="240" w:lineRule="auto"/>
              <w:rPr>
                <w:rFonts w:ascii="Calibri" w:eastAsia="Calibri" w:hAnsi="Calibri" w:cs="Calibri"/>
                <w:b/>
              </w:rPr>
            </w:pPr>
          </w:p>
          <w:p w:rsidR="00D46E3F" w:rsidRDefault="00D46E3F">
            <w:pPr>
              <w:widowControl w:val="0"/>
              <w:spacing w:line="240" w:lineRule="auto"/>
              <w:rPr>
                <w:rFonts w:ascii="Calibri" w:eastAsia="Calibri" w:hAnsi="Calibri" w:cs="Calibri"/>
                <w:b/>
              </w:rPr>
            </w:pPr>
          </w:p>
          <w:p w:rsidR="00D46E3F" w:rsidRDefault="00D46E3F">
            <w:pPr>
              <w:widowControl w:val="0"/>
              <w:spacing w:line="240" w:lineRule="auto"/>
              <w:rPr>
                <w:rFonts w:ascii="Calibri" w:eastAsia="Calibri" w:hAnsi="Calibri" w:cs="Calibri"/>
                <w:b/>
              </w:rPr>
            </w:pPr>
          </w:p>
          <w:p w:rsidR="00D46E3F" w:rsidRDefault="00D46E3F">
            <w:pPr>
              <w:widowControl w:val="0"/>
              <w:spacing w:line="240" w:lineRule="auto"/>
              <w:rPr>
                <w:rFonts w:ascii="Calibri" w:eastAsia="Calibri" w:hAnsi="Calibri" w:cs="Calibri"/>
                <w:b/>
              </w:rPr>
            </w:pPr>
          </w:p>
          <w:p w:rsidR="00D46E3F" w:rsidRDefault="00D46E3F">
            <w:pPr>
              <w:widowControl w:val="0"/>
              <w:spacing w:line="240" w:lineRule="auto"/>
              <w:rPr>
                <w:rFonts w:ascii="Calibri" w:eastAsia="Calibri" w:hAnsi="Calibri" w:cs="Calibri"/>
                <w:b/>
              </w:rPr>
            </w:pPr>
          </w:p>
          <w:p w:rsidR="00D46E3F" w:rsidRDefault="00D46E3F">
            <w:pPr>
              <w:widowControl w:val="0"/>
              <w:spacing w:line="240" w:lineRule="auto"/>
              <w:rPr>
                <w:rFonts w:ascii="Calibri" w:eastAsia="Calibri" w:hAnsi="Calibri" w:cs="Calibri"/>
                <w:b/>
              </w:rPr>
            </w:pPr>
          </w:p>
          <w:p w:rsidR="00D46E3F" w:rsidRDefault="00D46E3F">
            <w:pPr>
              <w:widowControl w:val="0"/>
              <w:spacing w:line="240" w:lineRule="auto"/>
              <w:rPr>
                <w:rFonts w:ascii="Calibri" w:eastAsia="Calibri" w:hAnsi="Calibri" w:cs="Calibri"/>
                <w:b/>
              </w:rPr>
            </w:pPr>
          </w:p>
          <w:p w:rsidR="00D46E3F" w:rsidRDefault="00D46E3F">
            <w:pPr>
              <w:widowControl w:val="0"/>
              <w:spacing w:line="240" w:lineRule="auto"/>
              <w:rPr>
                <w:rFonts w:ascii="Calibri" w:eastAsia="Calibri" w:hAnsi="Calibri" w:cs="Calibri"/>
                <w:b/>
                <w:sz w:val="12"/>
                <w:szCs w:val="12"/>
              </w:rPr>
            </w:pPr>
          </w:p>
          <w:p w:rsidR="00D46E3F" w:rsidRDefault="00D46E3F">
            <w:pPr>
              <w:widowControl w:val="0"/>
              <w:spacing w:line="240" w:lineRule="auto"/>
              <w:rPr>
                <w:rFonts w:ascii="Calibri" w:eastAsia="Calibri" w:hAnsi="Calibri" w:cs="Calibri"/>
                <w:b/>
                <w:sz w:val="12"/>
                <w:szCs w:val="12"/>
              </w:rPr>
            </w:pPr>
          </w:p>
          <w:p w:rsidR="00D46E3F" w:rsidRDefault="00D46E3F">
            <w:pPr>
              <w:widowControl w:val="0"/>
              <w:spacing w:line="240" w:lineRule="auto"/>
              <w:rPr>
                <w:rFonts w:ascii="Calibri" w:eastAsia="Calibri" w:hAnsi="Calibri" w:cs="Calibri"/>
                <w:b/>
                <w:sz w:val="12"/>
                <w:szCs w:val="12"/>
              </w:rPr>
            </w:pPr>
          </w:p>
          <w:p w:rsidR="00D46E3F" w:rsidRDefault="000C4310">
            <w:pPr>
              <w:widowControl w:val="0"/>
              <w:spacing w:line="240" w:lineRule="auto"/>
              <w:rPr>
                <w:rFonts w:ascii="Calibri" w:eastAsia="Calibri" w:hAnsi="Calibri" w:cs="Calibri"/>
                <w:b/>
                <w:sz w:val="12"/>
                <w:szCs w:val="12"/>
              </w:rPr>
            </w:pPr>
            <w:r>
              <w:rPr>
                <w:rFonts w:ascii="Calibri" w:eastAsia="Calibri" w:hAnsi="Calibri" w:cs="Calibri"/>
                <w:b/>
                <w:sz w:val="12"/>
                <w:szCs w:val="12"/>
              </w:rPr>
              <w:t>DOK 2</w:t>
            </w:r>
          </w:p>
        </w:tc>
      </w:tr>
    </w:tbl>
    <w:p w:rsidR="00D46E3F" w:rsidRDefault="00D46E3F">
      <w:pPr>
        <w:widowControl w:val="0"/>
        <w:spacing w:line="240" w:lineRule="auto"/>
        <w:rPr>
          <w:rFonts w:ascii="Calibri" w:eastAsia="Calibri" w:hAnsi="Calibri" w:cs="Calibri"/>
          <w:b/>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46E3F">
        <w:tc>
          <w:tcPr>
            <w:tcW w:w="10800" w:type="dxa"/>
            <w:shd w:val="clear" w:color="auto" w:fill="auto"/>
            <w:tcMar>
              <w:top w:w="100" w:type="dxa"/>
              <w:left w:w="100" w:type="dxa"/>
              <w:bottom w:w="100" w:type="dxa"/>
              <w:right w:w="100" w:type="dxa"/>
            </w:tcMar>
          </w:tcPr>
          <w:p w:rsidR="00D46E3F" w:rsidRDefault="000C4310">
            <w:pPr>
              <w:widowControl w:val="0"/>
              <w:numPr>
                <w:ilvl w:val="0"/>
                <w:numId w:val="1"/>
              </w:numPr>
              <w:spacing w:line="240" w:lineRule="auto"/>
              <w:contextualSpacing/>
              <w:rPr>
                <w:rFonts w:ascii="Calibri" w:eastAsia="Calibri" w:hAnsi="Calibri" w:cs="Calibri"/>
              </w:rPr>
            </w:pPr>
            <w:r>
              <w:rPr>
                <w:rFonts w:ascii="Calibri" w:eastAsia="Calibri" w:hAnsi="Calibri" w:cs="Calibri"/>
                <w:b/>
              </w:rPr>
              <w:t xml:space="preserve">This graph was created based on data in January 2017. If state and local tax data were collected and presented again in January 2018 and January 2019, would you expect substantial change among the graphs? Explain your thinking.  </w:t>
            </w:r>
          </w:p>
          <w:p w:rsidR="00D46E3F" w:rsidRDefault="00D46E3F">
            <w:pPr>
              <w:widowControl w:val="0"/>
              <w:spacing w:line="240" w:lineRule="auto"/>
              <w:rPr>
                <w:rFonts w:ascii="Calibri" w:eastAsia="Calibri" w:hAnsi="Calibri" w:cs="Calibri"/>
                <w:b/>
              </w:rPr>
            </w:pPr>
          </w:p>
          <w:p w:rsidR="00D46E3F" w:rsidRDefault="00D46E3F">
            <w:pPr>
              <w:widowControl w:val="0"/>
              <w:spacing w:line="240" w:lineRule="auto"/>
              <w:rPr>
                <w:rFonts w:ascii="Calibri" w:eastAsia="Calibri" w:hAnsi="Calibri" w:cs="Calibri"/>
                <w:b/>
              </w:rPr>
            </w:pPr>
          </w:p>
          <w:p w:rsidR="00D46E3F" w:rsidRDefault="000C4310">
            <w:pPr>
              <w:widowControl w:val="0"/>
              <w:spacing w:line="240" w:lineRule="auto"/>
              <w:rPr>
                <w:rFonts w:ascii="Calibri" w:eastAsia="Calibri" w:hAnsi="Calibri" w:cs="Calibri"/>
                <w:b/>
                <w:sz w:val="12"/>
                <w:szCs w:val="12"/>
              </w:rPr>
            </w:pPr>
            <w:r>
              <w:rPr>
                <w:rFonts w:ascii="Calibri" w:eastAsia="Calibri" w:hAnsi="Calibri" w:cs="Calibri"/>
                <w:b/>
                <w:sz w:val="12"/>
                <w:szCs w:val="12"/>
              </w:rPr>
              <w:t>DOK 3</w:t>
            </w:r>
          </w:p>
        </w:tc>
      </w:tr>
    </w:tbl>
    <w:p w:rsidR="00D46E3F" w:rsidRDefault="00D46E3F">
      <w:pPr>
        <w:widowControl w:val="0"/>
        <w:spacing w:line="240" w:lineRule="auto"/>
        <w:rPr>
          <w:rFonts w:ascii="Calibri" w:eastAsia="Calibri" w:hAnsi="Calibri" w:cs="Calibri"/>
          <w:color w:val="747474"/>
        </w:rPr>
      </w:pPr>
    </w:p>
    <w:sectPr w:rsidR="00D46E3F">
      <w:footerReference w:type="default" r:id="rId9"/>
      <w:pgSz w:w="12240" w:h="15840"/>
      <w:pgMar w:top="215"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10" w:rsidRDefault="000C4310">
      <w:pPr>
        <w:spacing w:line="240" w:lineRule="auto"/>
      </w:pPr>
      <w:r>
        <w:separator/>
      </w:r>
    </w:p>
  </w:endnote>
  <w:endnote w:type="continuationSeparator" w:id="0">
    <w:p w:rsidR="000C4310" w:rsidRDefault="000C4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3F" w:rsidRDefault="000C4310">
    <w:pPr>
      <w:widowControl w:val="0"/>
      <w:spacing w:line="240" w:lineRule="auto"/>
      <w:jc w:val="center"/>
    </w:pPr>
    <w:hyperlink r:id="rId1">
      <w:r>
        <w:rPr>
          <w:rFonts w:ascii="Calibri" w:eastAsia="Calibri" w:hAnsi="Calibri" w:cs="Calibri"/>
          <w:color w:val="999999"/>
          <w:sz w:val="20"/>
          <w:szCs w:val="20"/>
        </w:rPr>
        <w:t>www.ngpf.org</w:t>
      </w:r>
    </w:hyperlink>
    <w:r>
      <w:rPr>
        <w:rFonts w:ascii="Calibri" w:eastAsia="Calibri" w:hAnsi="Calibri" w:cs="Calibri"/>
        <w:color w:val="999999"/>
        <w:sz w:val="20"/>
        <w:szCs w:val="20"/>
      </w:rPr>
      <w:tab/>
    </w:r>
    <w:r>
      <w:rPr>
        <w:rFonts w:ascii="Calibri" w:eastAsia="Calibri" w:hAnsi="Calibri" w:cs="Calibri"/>
        <w:color w:val="999999"/>
        <w:sz w:val="20"/>
        <w:szCs w:val="20"/>
      </w:rPr>
      <w:tab/>
    </w:r>
    <w:r>
      <w:rPr>
        <w:rFonts w:ascii="Calibri" w:eastAsia="Calibri" w:hAnsi="Calibri" w:cs="Calibri"/>
        <w:color w:val="999999"/>
        <w:sz w:val="20"/>
        <w:szCs w:val="20"/>
      </w:rPr>
      <w:tab/>
    </w:r>
    <w:r>
      <w:rPr>
        <w:rFonts w:ascii="Calibri" w:eastAsia="Calibri" w:hAnsi="Calibri" w:cs="Calibri"/>
        <w:color w:val="999999"/>
        <w:sz w:val="20"/>
        <w:szCs w:val="20"/>
      </w:rPr>
      <w:tab/>
      <w:t xml:space="preserve"> Last updated: 12/7/17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10" w:rsidRDefault="000C4310">
      <w:pPr>
        <w:spacing w:line="240" w:lineRule="auto"/>
      </w:pPr>
      <w:r>
        <w:separator/>
      </w:r>
    </w:p>
  </w:footnote>
  <w:footnote w:type="continuationSeparator" w:id="0">
    <w:p w:rsidR="000C4310" w:rsidRDefault="000C43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163D0"/>
    <w:multiLevelType w:val="multilevel"/>
    <w:tmpl w:val="F8264D7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3F"/>
    <w:rsid w:val="000C4310"/>
    <w:rsid w:val="00B2063F"/>
    <w:rsid w:val="00D4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65E3C-D63F-4C66-83FB-06D01612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Clare-Gladwin RESD</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"jcleary"</cp:lastModifiedBy>
  <cp:revision>2</cp:revision>
  <dcterms:created xsi:type="dcterms:W3CDTF">2018-02-20T13:44:00Z</dcterms:created>
  <dcterms:modified xsi:type="dcterms:W3CDTF">2018-02-20T13:44:00Z</dcterms:modified>
</cp:coreProperties>
</file>