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0" w:type="dxa"/>
        <w:tblCellMar>
          <w:left w:w="187" w:type="dxa"/>
          <w:right w:w="187" w:type="dxa"/>
        </w:tblCellMar>
        <w:tblLook w:val="0000" w:firstRow="0" w:lastRow="0" w:firstColumn="0" w:lastColumn="0" w:noHBand="0" w:noVBand="0"/>
      </w:tblPr>
      <w:tblGrid>
        <w:gridCol w:w="394"/>
        <w:gridCol w:w="2936"/>
        <w:gridCol w:w="6480"/>
      </w:tblGrid>
      <w:tr w:rsidR="00885AED" w:rsidTr="00885AED">
        <w:trPr>
          <w:trHeight w:val="720"/>
        </w:trPr>
        <w:tc>
          <w:tcPr>
            <w:tcW w:w="394" w:type="dxa"/>
            <w:tcMar>
              <w:left w:w="0" w:type="dxa"/>
              <w:right w:w="0" w:type="dxa"/>
            </w:tcMar>
          </w:tcPr>
          <w:p w:rsidR="00885AED" w:rsidRDefault="00885AED" w:rsidP="00F06A66"/>
        </w:tc>
        <w:tc>
          <w:tcPr>
            <w:tcW w:w="2936" w:type="dxa"/>
            <w:shd w:val="clear" w:color="auto" w:fill="595959" w:themeFill="text1" w:themeFillTint="A6"/>
            <w:vAlign w:val="center"/>
          </w:tcPr>
          <w:p w:rsidR="00885AED" w:rsidRDefault="00885AED" w:rsidP="0035582B">
            <w:pPr>
              <w:pStyle w:val="CompanyName"/>
              <w:ind w:left="-941" w:firstLine="720"/>
              <w:jc w:val="left"/>
            </w:pPr>
            <w:r>
              <w:t xml:space="preserve">Chapter </w:t>
            </w:r>
            <w:r w:rsidR="00C56F56">
              <w:t>2</w:t>
            </w:r>
            <w:r w:rsidR="0035582B">
              <w:t>1</w:t>
            </w:r>
          </w:p>
        </w:tc>
        <w:tc>
          <w:tcPr>
            <w:tcW w:w="6480" w:type="dxa"/>
            <w:shd w:val="clear" w:color="auto" w:fill="595959" w:themeFill="text1" w:themeFillTint="A6"/>
            <w:vAlign w:val="center"/>
          </w:tcPr>
          <w:p w:rsidR="00885AED" w:rsidRDefault="0035582B" w:rsidP="00F06A66">
            <w:pPr>
              <w:pStyle w:val="CompanyName"/>
              <w:jc w:val="left"/>
            </w:pPr>
            <w:r>
              <w:t>Accounting for Accruals, Deferrals, and Reversing Entries</w:t>
            </w:r>
          </w:p>
        </w:tc>
      </w:tr>
    </w:tbl>
    <w:p w:rsidR="002E3FCB" w:rsidRPr="002E3FCB" w:rsidRDefault="002E3FCB" w:rsidP="002E3FCB">
      <w:pPr>
        <w:rPr>
          <w:rFonts w:ascii="Arial" w:hAnsi="Arial" w:cs="Arial"/>
          <w:color w:val="222222"/>
          <w:spacing w:val="0"/>
          <w:sz w:val="24"/>
          <w:szCs w:val="24"/>
          <w:lang w:val="en"/>
        </w:rPr>
      </w:pPr>
    </w:p>
    <w:p w:rsidR="00E442BF" w:rsidRPr="00885AED" w:rsidRDefault="002E3FCB" w:rsidP="00F06A66">
      <w:pPr>
        <w:pStyle w:val="Title"/>
        <w:spacing w:before="120" w:after="0"/>
        <w:rPr>
          <w:sz w:val="72"/>
        </w:rPr>
      </w:pPr>
      <w:r w:rsidRPr="002E3FCB">
        <w:rPr>
          <w:rFonts w:ascii="Arial" w:hAnsi="Arial" w:cs="Arial"/>
          <w:noProof/>
          <w:color w:val="0000FF"/>
          <w:spacing w:val="0"/>
          <w:sz w:val="24"/>
          <w:szCs w:val="24"/>
        </w:rPr>
        <w:drawing>
          <wp:anchor distT="0" distB="0" distL="114300" distR="114300" simplePos="0" relativeHeight="251657216" behindDoc="0" locked="0" layoutInCell="1" allowOverlap="1" wp14:anchorId="13EDB4DA" wp14:editId="213FBDE1">
            <wp:simplePos x="0" y="0"/>
            <wp:positionH relativeFrom="column">
              <wp:posOffset>3738187</wp:posOffset>
            </wp:positionH>
            <wp:positionV relativeFrom="paragraph">
              <wp:posOffset>287243</wp:posOffset>
            </wp:positionV>
            <wp:extent cx="2072245" cy="1495264"/>
            <wp:effectExtent l="0" t="0" r="0" b="0"/>
            <wp:wrapNone/>
            <wp:docPr id="6" name="Picture 6" descr="https://encrypted-tbn1.gstatic.com/images?q=tbn:ANd9GcQRQCxvByf0YhszTWKnFpGvlDtkAzBSOaLUKhDhmVSABkdJsclSf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RQCxvByf0YhszTWKnFpGvlDtkAzBSOaLUKhDhmVSABkdJsclSf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245" cy="1495264"/>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30" w:rsidRPr="00885AED">
        <w:rPr>
          <w:sz w:val="72"/>
        </w:rPr>
        <w:t>Memo</w:t>
      </w:r>
      <w:r w:rsidR="0035582B" w:rsidRPr="0035582B">
        <w:rPr>
          <w:rFonts w:ascii="Arial" w:hAnsi="Arial" w:cs="Arial"/>
          <w:color w:val="0000FF"/>
          <w:sz w:val="27"/>
          <w:szCs w:val="27"/>
          <w:lang w:val="en"/>
        </w:rPr>
        <w:t xml:space="preserve"> </w:t>
      </w:r>
    </w:p>
    <w:p w:rsidR="00370DBC" w:rsidRPr="00E0003B" w:rsidRDefault="00370DBC" w:rsidP="00F06A66">
      <w:pPr>
        <w:tabs>
          <w:tab w:val="left" w:pos="1152"/>
        </w:tabs>
        <w:spacing w:line="480" w:lineRule="auto"/>
      </w:pPr>
      <w:r w:rsidRPr="004A6DCE">
        <w:t>To:</w:t>
      </w:r>
      <w:r w:rsidRPr="004A6DCE">
        <w:rPr>
          <w:rFonts w:asciiTheme="majorHAnsi" w:hAnsiTheme="majorHAnsi"/>
          <w:b/>
        </w:rPr>
        <w:tab/>
      </w:r>
      <w:r>
        <w:t>My Awesome Advanced Accounting Students</w:t>
      </w:r>
      <w:r w:rsidR="00C56F56" w:rsidRPr="00C56F56">
        <w:rPr>
          <w:rFonts w:ascii="Arial" w:hAnsi="Arial" w:cs="Arial"/>
          <w:color w:val="0000FF"/>
          <w:sz w:val="27"/>
          <w:szCs w:val="27"/>
          <w:lang w:val="en"/>
        </w:rPr>
        <w:t xml:space="preserve"> </w:t>
      </w:r>
    </w:p>
    <w:p w:rsidR="00370DBC" w:rsidRPr="00E0003B" w:rsidRDefault="00370DBC" w:rsidP="00F06A66">
      <w:pPr>
        <w:tabs>
          <w:tab w:val="left" w:pos="1152"/>
        </w:tabs>
        <w:spacing w:line="480" w:lineRule="auto"/>
      </w:pPr>
      <w:r w:rsidRPr="004A6DCE">
        <w:t>From:</w:t>
      </w:r>
      <w:r w:rsidRPr="004A6DCE">
        <w:rPr>
          <w:rFonts w:asciiTheme="majorHAnsi" w:hAnsiTheme="majorHAnsi"/>
          <w:b/>
        </w:rPr>
        <w:tab/>
      </w:r>
      <w:r>
        <w:t xml:space="preserve">Mrs. </w:t>
      </w:r>
      <w:r w:rsidR="001142D2">
        <w:t>Cleary</w:t>
      </w:r>
      <w:bookmarkStart w:id="0" w:name="_GoBack"/>
      <w:bookmarkEnd w:id="0"/>
    </w:p>
    <w:p w:rsidR="00370DBC" w:rsidRPr="00E0003B" w:rsidRDefault="00370DBC" w:rsidP="00F06A66">
      <w:pPr>
        <w:tabs>
          <w:tab w:val="left" w:pos="1152"/>
        </w:tabs>
        <w:spacing w:line="480" w:lineRule="auto"/>
      </w:pPr>
      <w:r w:rsidRPr="004A6DCE">
        <w:t>Date:</w:t>
      </w:r>
      <w:r w:rsidRPr="004A6DCE">
        <w:rPr>
          <w:rFonts w:asciiTheme="majorHAnsi" w:hAnsiTheme="majorHAnsi"/>
          <w:b/>
        </w:rPr>
        <w:tab/>
      </w:r>
      <w:sdt>
        <w:sdtPr>
          <w:alias w:val="Date"/>
          <w:tag w:val="Date"/>
          <w:id w:val="434908564"/>
          <w:placeholder>
            <w:docPart w:val="55D3C305B3A2453D8EC540279BE4AE12"/>
          </w:placeholder>
          <w:date w:fullDate="2014-08-01T00:00:00Z">
            <w:dateFormat w:val="MMMM d, yyyy"/>
            <w:lid w:val="en-US"/>
            <w:storeMappedDataAs w:val="dateTime"/>
            <w:calendar w:val="gregorian"/>
          </w:date>
        </w:sdtPr>
        <w:sdtEndPr/>
        <w:sdtContent>
          <w:r>
            <w:t>August 1, 2014</w:t>
          </w:r>
        </w:sdtContent>
      </w:sdt>
    </w:p>
    <w:p w:rsidR="00370DBC" w:rsidRPr="00E0003B" w:rsidRDefault="00370DBC" w:rsidP="00F06A66">
      <w:pPr>
        <w:pBdr>
          <w:bottom w:val="double" w:sz="4" w:space="1" w:color="auto"/>
        </w:pBdr>
        <w:tabs>
          <w:tab w:val="left" w:pos="1152"/>
        </w:tabs>
        <w:spacing w:line="480" w:lineRule="auto"/>
      </w:pPr>
      <w:r w:rsidRPr="004A6DCE">
        <w:t>Re:</w:t>
      </w:r>
      <w:r w:rsidRPr="004A6DCE">
        <w:rPr>
          <w:rFonts w:asciiTheme="majorHAnsi" w:hAnsiTheme="majorHAnsi"/>
          <w:b/>
        </w:rPr>
        <w:tab/>
      </w:r>
      <w:r w:rsidR="00525B22">
        <w:t xml:space="preserve">Chapter </w:t>
      </w:r>
      <w:r w:rsidR="00F6421F">
        <w:t>21</w:t>
      </w:r>
      <w:r>
        <w:t xml:space="preserve"> </w:t>
      </w:r>
      <w:r w:rsidR="00885AED">
        <w:t xml:space="preserve">Learning </w:t>
      </w:r>
      <w:r>
        <w:t>Guide</w:t>
      </w:r>
    </w:p>
    <w:p w:rsidR="00370DBC" w:rsidRDefault="00370DBC" w:rsidP="00F06A66">
      <w:pPr>
        <w:tabs>
          <w:tab w:val="left" w:pos="1152"/>
        </w:tabs>
      </w:pPr>
    </w:p>
    <w:p w:rsidR="00370DBC" w:rsidRDefault="00370DBC" w:rsidP="00F06A66">
      <w:pPr>
        <w:pBdr>
          <w:top w:val="double" w:sz="4" w:space="1" w:color="auto"/>
          <w:left w:val="double" w:sz="4" w:space="4" w:color="auto"/>
          <w:bottom w:val="double" w:sz="4" w:space="1" w:color="auto"/>
          <w:right w:val="double" w:sz="4" w:space="4" w:color="auto"/>
        </w:pBdr>
        <w:tabs>
          <w:tab w:val="left" w:pos="1152"/>
        </w:tabs>
        <w:rPr>
          <w:b/>
        </w:rPr>
      </w:pPr>
      <w:r w:rsidRPr="00370DBC">
        <w:rPr>
          <w:b/>
        </w:rPr>
        <w:t>L</w:t>
      </w:r>
      <w:r w:rsidR="00977EF9" w:rsidRPr="00E30CC7">
        <w:rPr>
          <w:b/>
        </w:rPr>
        <w:t xml:space="preserve">esson </w:t>
      </w:r>
      <w:r w:rsidR="00C56F56">
        <w:rPr>
          <w:b/>
        </w:rPr>
        <w:t>2</w:t>
      </w:r>
      <w:r w:rsidR="002E3FCB">
        <w:rPr>
          <w:b/>
        </w:rPr>
        <w:t>1</w:t>
      </w:r>
      <w:r w:rsidR="00977EF9" w:rsidRPr="00E30CC7">
        <w:rPr>
          <w:b/>
        </w:rPr>
        <w:t xml:space="preserve">-1 </w:t>
      </w:r>
      <w:r w:rsidR="00BA4966" w:rsidRPr="00E30CC7">
        <w:rPr>
          <w:b/>
        </w:rPr>
        <w:t xml:space="preserve">– </w:t>
      </w:r>
      <w:r w:rsidR="00C56F56">
        <w:rPr>
          <w:b/>
        </w:rPr>
        <w:t>Determining the Quantity of Merchandise Inventory</w:t>
      </w:r>
      <w:r w:rsidR="00977EF9" w:rsidRPr="00E30CC7">
        <w:rPr>
          <w:b/>
        </w:rPr>
        <w:t xml:space="preserve"> (Page </w:t>
      </w:r>
      <w:r w:rsidR="00C56F56">
        <w:rPr>
          <w:b/>
        </w:rPr>
        <w:t>620</w:t>
      </w:r>
      <w:r w:rsidR="00977EF9" w:rsidRPr="00E30CC7">
        <w:rPr>
          <w:b/>
        </w:rPr>
        <w:t>)</w:t>
      </w:r>
    </w:p>
    <w:p w:rsidR="00370DBC" w:rsidRDefault="00370DBC" w:rsidP="00F06A66">
      <w:pPr>
        <w:tabs>
          <w:tab w:val="left" w:pos="1152"/>
        </w:tabs>
        <w:rPr>
          <w:b/>
        </w:rPr>
      </w:pPr>
    </w:p>
    <w:p w:rsidR="00977EF9" w:rsidRPr="00E30CC7" w:rsidRDefault="00977EF9" w:rsidP="00F06A66">
      <w:pPr>
        <w:tabs>
          <w:tab w:val="left" w:pos="1152"/>
        </w:tabs>
        <w:spacing w:line="480" w:lineRule="auto"/>
        <w:rPr>
          <w:b/>
        </w:rPr>
      </w:pPr>
      <w:r w:rsidRPr="00E30CC7">
        <w:rPr>
          <w:b/>
        </w:rPr>
        <w:t xml:space="preserve">Bridge:  </w:t>
      </w:r>
    </w:p>
    <w:p w:rsidR="008E3465" w:rsidRDefault="002E3FCB" w:rsidP="00F06A66">
      <w:pPr>
        <w:pStyle w:val="BodyText"/>
        <w:numPr>
          <w:ilvl w:val="0"/>
          <w:numId w:val="13"/>
        </w:numPr>
        <w:spacing w:before="0" w:line="240" w:lineRule="auto"/>
        <w:ind w:left="360"/>
        <w:jc w:val="left"/>
      </w:pPr>
      <w:r>
        <w:t>Say you have a job working at StageRight.  Will you be paid immediately for the wages you earned or will you be paid at a later date?  Are employees paid for wages earned in the previous month?</w:t>
      </w:r>
    </w:p>
    <w:p w:rsidR="002E3FCB" w:rsidRDefault="002E3FCB" w:rsidP="00F06A66">
      <w:pPr>
        <w:pStyle w:val="BodyText"/>
        <w:numPr>
          <w:ilvl w:val="0"/>
          <w:numId w:val="13"/>
        </w:numPr>
        <w:spacing w:before="0" w:line="240" w:lineRule="auto"/>
        <w:ind w:left="360"/>
        <w:jc w:val="left"/>
      </w:pPr>
      <w:r>
        <w:t>If you purchase a one-year subscription to a magazine on November 1, how much should of the subscription fee of $24.00 be recognized as revenue for November and December?  The remaining $21.00 should be recorded as a deferred liability.  Make sense?</w:t>
      </w:r>
    </w:p>
    <w:p w:rsidR="007D142F" w:rsidRDefault="007D142F" w:rsidP="00F06A66">
      <w:pPr>
        <w:pStyle w:val="BodyText"/>
        <w:numPr>
          <w:ilvl w:val="0"/>
          <w:numId w:val="13"/>
        </w:numPr>
        <w:spacing w:before="0" w:line="240" w:lineRule="auto"/>
        <w:ind w:left="360"/>
        <w:jc w:val="left"/>
      </w:pPr>
      <w:r>
        <w:t>Adjusting entries must be recorded at the end of a fiscal period for both the balance sheet and the income statement to be accurate.</w:t>
      </w:r>
    </w:p>
    <w:p w:rsidR="002E3FCB" w:rsidRDefault="002E3FCB" w:rsidP="00F06A66">
      <w:pPr>
        <w:pStyle w:val="BodyText"/>
        <w:numPr>
          <w:ilvl w:val="0"/>
          <w:numId w:val="13"/>
        </w:numPr>
        <w:spacing w:before="0" w:line="240" w:lineRule="auto"/>
        <w:ind w:left="360"/>
        <w:jc w:val="left"/>
      </w:pPr>
      <w:r>
        <w:t>In Chapter 15 you learned how to journalize the adjusting entry to accrued interest income.  You’ll learn how to reverse the adjusting entry in this section.</w:t>
      </w:r>
    </w:p>
    <w:p w:rsidR="002E3FCB" w:rsidRDefault="002E3FCB" w:rsidP="00F06A66">
      <w:pPr>
        <w:pStyle w:val="BodyText"/>
        <w:numPr>
          <w:ilvl w:val="0"/>
          <w:numId w:val="13"/>
        </w:numPr>
        <w:spacing w:before="0" w:line="240" w:lineRule="auto"/>
        <w:ind w:left="360"/>
        <w:jc w:val="left"/>
      </w:pPr>
      <w:r>
        <w:t xml:space="preserve">You will also learn how to calculate interest expense for a fraction of a year.  </w:t>
      </w:r>
    </w:p>
    <w:p w:rsidR="00FD79E4" w:rsidRDefault="00FD79E4" w:rsidP="00F06A66">
      <w:pPr>
        <w:pStyle w:val="BodyText"/>
        <w:numPr>
          <w:ilvl w:val="0"/>
          <w:numId w:val="13"/>
        </w:numPr>
        <w:spacing w:before="0" w:line="240" w:lineRule="auto"/>
        <w:ind w:left="360"/>
        <w:jc w:val="left"/>
      </w:pPr>
      <w:r>
        <w:t>The calculation of interest expense for a fraction of a year is the same as for accrued interest income.</w:t>
      </w:r>
    </w:p>
    <w:p w:rsidR="002E3FCB" w:rsidRDefault="00981144" w:rsidP="00F06A66">
      <w:pPr>
        <w:pStyle w:val="BodyText"/>
        <w:numPr>
          <w:ilvl w:val="0"/>
          <w:numId w:val="13"/>
        </w:numPr>
        <w:spacing w:before="0" w:line="240" w:lineRule="auto"/>
        <w:ind w:left="360"/>
        <w:jc w:val="left"/>
      </w:pPr>
      <w:r>
        <w:t>Reversing entries are the exact opposite of the adjusting entries that were recorded.</w:t>
      </w:r>
    </w:p>
    <w:p w:rsidR="00FD79E4" w:rsidRDefault="00FD79E4" w:rsidP="00F06A66">
      <w:pPr>
        <w:pStyle w:val="BodyText"/>
        <w:numPr>
          <w:ilvl w:val="0"/>
          <w:numId w:val="13"/>
        </w:numPr>
        <w:spacing w:before="0" w:line="240" w:lineRule="auto"/>
        <w:ind w:left="360"/>
        <w:jc w:val="left"/>
      </w:pPr>
      <w:r>
        <w:t>Note:  The number of days used in the calculations is 360.  The 360-day year became popular because of its ease of computation; a 360-day year divides the year into twelve 30-day months.</w:t>
      </w:r>
    </w:p>
    <w:p w:rsidR="00FD79E4" w:rsidRDefault="00FD79E4" w:rsidP="00F06A66">
      <w:pPr>
        <w:pStyle w:val="BodyText"/>
        <w:numPr>
          <w:ilvl w:val="0"/>
          <w:numId w:val="13"/>
        </w:numPr>
        <w:spacing w:before="0" w:line="240" w:lineRule="auto"/>
        <w:ind w:left="360"/>
        <w:jc w:val="left"/>
      </w:pPr>
      <w:r>
        <w:t xml:space="preserve">Carefully digest this:  After the closing entry, Interest Expense has a zero balance because the interest for this period, which has not yet been paid, was recorded in the account—so it could be included in the total expenses—and then removed by the closing entry.  When the note payable is paid in the next fiscal period, the cash will include the interest that was closed from this account at the end of the current fiscal period.  </w:t>
      </w:r>
      <w:r w:rsidRPr="00FD79E4">
        <w:rPr>
          <w:b/>
        </w:rPr>
        <w:t>IMPORTANT:</w:t>
      </w:r>
      <w:r>
        <w:t xml:space="preserve">  When the full amount of interest is recorded in the next fiscal period, the part that was recorded in the current fiscal period will have been recorded twice.  Reversing entries are recorded to avoid erroneously recording interest expense twice.  </w:t>
      </w:r>
      <w:r w:rsidRPr="007D142F">
        <w:rPr>
          <w:i/>
        </w:rPr>
        <w:t>The effect of the reversing entry creates a credit balance in Interest Expense</w:t>
      </w:r>
      <w:r>
        <w:t xml:space="preserve">, a balance opposite to the normal balance of an expense account.  </w:t>
      </w:r>
      <w:r w:rsidR="007D142F">
        <w:t>This abnormal balance will disappear when the interest expense is paid and recorded.</w:t>
      </w:r>
    </w:p>
    <w:p w:rsidR="007D142F" w:rsidRDefault="007D142F" w:rsidP="00F06A66">
      <w:pPr>
        <w:pStyle w:val="BodyText"/>
        <w:numPr>
          <w:ilvl w:val="0"/>
          <w:numId w:val="13"/>
        </w:numPr>
        <w:spacing w:before="0" w:line="240" w:lineRule="auto"/>
        <w:ind w:left="360"/>
        <w:jc w:val="left"/>
      </w:pPr>
      <w:r>
        <w:t>Reversing entries simplify the accounting process by eliminating the need for accounting personnel to check each time a note is paid to ensure that the interest expense is not counted twice.</w:t>
      </w:r>
    </w:p>
    <w:p w:rsidR="00045965" w:rsidRDefault="00045965" w:rsidP="00F06A66">
      <w:pPr>
        <w:pStyle w:val="BodyText"/>
        <w:spacing w:before="0" w:line="240" w:lineRule="auto"/>
        <w:ind w:left="360"/>
        <w:jc w:val="left"/>
      </w:pPr>
    </w:p>
    <w:p w:rsidR="00045965" w:rsidRPr="00045965" w:rsidRDefault="00045965" w:rsidP="00F06A66">
      <w:pPr>
        <w:pStyle w:val="BodyText"/>
        <w:spacing w:before="0" w:line="240" w:lineRule="auto"/>
        <w:ind w:left="0"/>
        <w:jc w:val="left"/>
        <w:rPr>
          <w:i/>
        </w:rPr>
      </w:pPr>
      <w:r>
        <w:rPr>
          <w:b/>
        </w:rPr>
        <w:t xml:space="preserve">Reading Guide </w:t>
      </w:r>
      <w:r w:rsidRPr="00045965">
        <w:rPr>
          <w:i/>
        </w:rPr>
        <w:t>(Please key your answer</w:t>
      </w:r>
      <w:r w:rsidR="00AC35CD">
        <w:rPr>
          <w:i/>
        </w:rPr>
        <w:t>s</w:t>
      </w:r>
      <w:r w:rsidRPr="00045965">
        <w:rPr>
          <w:i/>
        </w:rPr>
        <w:t xml:space="preserve"> to the following questions.)</w:t>
      </w:r>
    </w:p>
    <w:p w:rsidR="00977EF9" w:rsidRDefault="002E3FCB" w:rsidP="00F06A66">
      <w:pPr>
        <w:pStyle w:val="BodyText"/>
        <w:numPr>
          <w:ilvl w:val="0"/>
          <w:numId w:val="14"/>
        </w:numPr>
        <w:ind w:left="360"/>
        <w:jc w:val="left"/>
      </w:pPr>
      <w:r>
        <w:t>What is an accrual</w:t>
      </w:r>
      <w:r w:rsidR="008E3465">
        <w:t>?</w:t>
      </w:r>
    </w:p>
    <w:p w:rsidR="000D46B9" w:rsidRDefault="002E3FCB" w:rsidP="00F06A66">
      <w:pPr>
        <w:pStyle w:val="BodyText"/>
        <w:numPr>
          <w:ilvl w:val="0"/>
          <w:numId w:val="14"/>
        </w:numPr>
        <w:ind w:left="360"/>
        <w:jc w:val="left"/>
      </w:pPr>
      <w:r>
        <w:lastRenderedPageBreak/>
        <w:t>What is a deferral</w:t>
      </w:r>
      <w:r w:rsidR="008E3465">
        <w:t>?</w:t>
      </w:r>
    </w:p>
    <w:p w:rsidR="008E3465" w:rsidRDefault="00981144" w:rsidP="00F06A66">
      <w:pPr>
        <w:pStyle w:val="BodyText"/>
        <w:numPr>
          <w:ilvl w:val="0"/>
          <w:numId w:val="14"/>
        </w:numPr>
        <w:ind w:left="360"/>
        <w:jc w:val="left"/>
      </w:pPr>
      <w:r>
        <w:t xml:space="preserve">Why </w:t>
      </w:r>
      <w:r w:rsidR="007F6346">
        <w:t>should</w:t>
      </w:r>
      <w:r>
        <w:t xml:space="preserve"> reversing entries be made?</w:t>
      </w:r>
    </w:p>
    <w:p w:rsidR="00981144" w:rsidRDefault="00981144" w:rsidP="007F6346">
      <w:pPr>
        <w:pStyle w:val="BodyText"/>
        <w:ind w:left="0"/>
      </w:pPr>
    </w:p>
    <w:tbl>
      <w:tblPr>
        <w:tblStyle w:val="TableGrid"/>
        <w:tblW w:w="9900" w:type="dxa"/>
        <w:jc w:val="center"/>
        <w:tblLook w:val="04A0" w:firstRow="1" w:lastRow="0" w:firstColumn="1" w:lastColumn="0" w:noHBand="0" w:noVBand="1"/>
      </w:tblPr>
      <w:tblGrid>
        <w:gridCol w:w="3240"/>
        <w:gridCol w:w="3600"/>
        <w:gridCol w:w="3060"/>
      </w:tblGrid>
      <w:tr w:rsidR="00981144" w:rsidTr="00DB6C39">
        <w:trPr>
          <w:jc w:val="center"/>
        </w:trPr>
        <w:tc>
          <w:tcPr>
            <w:tcW w:w="3240" w:type="dxa"/>
          </w:tcPr>
          <w:p w:rsidR="00981144" w:rsidRPr="00D06831" w:rsidRDefault="00981144" w:rsidP="00DB6C39">
            <w:pPr>
              <w:pStyle w:val="BodyText"/>
              <w:ind w:left="0"/>
              <w:rPr>
                <w:b/>
              </w:rPr>
            </w:pPr>
            <w:r>
              <w:rPr>
                <w:b/>
              </w:rPr>
              <w:t>21</w:t>
            </w:r>
            <w:r w:rsidRPr="00D06831">
              <w:rPr>
                <w:b/>
              </w:rPr>
              <w:t>-1 Sample Transactions</w:t>
            </w:r>
          </w:p>
        </w:tc>
        <w:tc>
          <w:tcPr>
            <w:tcW w:w="3600" w:type="dxa"/>
          </w:tcPr>
          <w:p w:rsidR="00981144" w:rsidRPr="00D06831" w:rsidRDefault="00981144" w:rsidP="00DB6C39">
            <w:pPr>
              <w:pStyle w:val="BodyText"/>
              <w:ind w:left="0"/>
              <w:rPr>
                <w:b/>
              </w:rPr>
            </w:pPr>
            <w:r w:rsidRPr="00D06831">
              <w:rPr>
                <w:b/>
              </w:rPr>
              <w:t>Account(s) Debited</w:t>
            </w:r>
          </w:p>
        </w:tc>
        <w:tc>
          <w:tcPr>
            <w:tcW w:w="3060" w:type="dxa"/>
          </w:tcPr>
          <w:p w:rsidR="00981144" w:rsidRPr="00D06831" w:rsidRDefault="00981144" w:rsidP="00DB6C39">
            <w:pPr>
              <w:pStyle w:val="BodyText"/>
              <w:ind w:left="0"/>
              <w:rPr>
                <w:b/>
              </w:rPr>
            </w:pPr>
            <w:r w:rsidRPr="00D06831">
              <w:rPr>
                <w:b/>
              </w:rPr>
              <w:t>Account(s) Credited</w:t>
            </w:r>
          </w:p>
        </w:tc>
      </w:tr>
      <w:tr w:rsidR="00981144" w:rsidTr="00DB6C39">
        <w:trPr>
          <w:jc w:val="center"/>
        </w:trPr>
        <w:tc>
          <w:tcPr>
            <w:tcW w:w="3240" w:type="dxa"/>
          </w:tcPr>
          <w:p w:rsidR="00981144" w:rsidRDefault="00981144" w:rsidP="00DB6C39">
            <w:pPr>
              <w:pStyle w:val="BodyText"/>
              <w:ind w:left="0"/>
              <w:jc w:val="left"/>
            </w:pPr>
            <w:r>
              <w:t>Reversing entry for accrued interest income</w:t>
            </w:r>
          </w:p>
        </w:tc>
        <w:tc>
          <w:tcPr>
            <w:tcW w:w="3600" w:type="dxa"/>
          </w:tcPr>
          <w:p w:rsidR="00981144" w:rsidRDefault="00981144" w:rsidP="00DB6C39">
            <w:pPr>
              <w:pStyle w:val="BodyText"/>
              <w:ind w:left="0"/>
              <w:jc w:val="left"/>
            </w:pPr>
          </w:p>
        </w:tc>
        <w:tc>
          <w:tcPr>
            <w:tcW w:w="3060" w:type="dxa"/>
          </w:tcPr>
          <w:p w:rsidR="00981144" w:rsidRDefault="00981144" w:rsidP="00DB6C39">
            <w:pPr>
              <w:pStyle w:val="BodyText"/>
              <w:ind w:left="0"/>
              <w:jc w:val="left"/>
            </w:pPr>
          </w:p>
        </w:tc>
      </w:tr>
      <w:tr w:rsidR="00981144" w:rsidTr="00DB6C39">
        <w:trPr>
          <w:jc w:val="center"/>
        </w:trPr>
        <w:tc>
          <w:tcPr>
            <w:tcW w:w="3240" w:type="dxa"/>
          </w:tcPr>
          <w:p w:rsidR="00981144" w:rsidRDefault="00981144" w:rsidP="00DB6C39">
            <w:pPr>
              <w:pStyle w:val="BodyText"/>
              <w:ind w:left="0"/>
              <w:jc w:val="left"/>
            </w:pPr>
            <w:r>
              <w:t>Received cash for the maturity value of a 90-day note plus interest.</w:t>
            </w:r>
          </w:p>
        </w:tc>
        <w:tc>
          <w:tcPr>
            <w:tcW w:w="3600" w:type="dxa"/>
          </w:tcPr>
          <w:p w:rsidR="00981144" w:rsidRDefault="00981144" w:rsidP="00DB6C39">
            <w:pPr>
              <w:pStyle w:val="BodyText"/>
              <w:ind w:left="0"/>
              <w:jc w:val="left"/>
            </w:pPr>
          </w:p>
        </w:tc>
        <w:tc>
          <w:tcPr>
            <w:tcW w:w="3060" w:type="dxa"/>
          </w:tcPr>
          <w:p w:rsidR="00981144" w:rsidRDefault="00981144" w:rsidP="00DB6C39">
            <w:pPr>
              <w:pStyle w:val="BodyText"/>
              <w:ind w:left="0"/>
              <w:jc w:val="left"/>
            </w:pPr>
          </w:p>
        </w:tc>
      </w:tr>
      <w:tr w:rsidR="00981144" w:rsidTr="00DB6C39">
        <w:trPr>
          <w:jc w:val="center"/>
        </w:trPr>
        <w:tc>
          <w:tcPr>
            <w:tcW w:w="3240" w:type="dxa"/>
          </w:tcPr>
          <w:p w:rsidR="00981144" w:rsidRDefault="00981144" w:rsidP="00DB6C39">
            <w:pPr>
              <w:pStyle w:val="BodyText"/>
              <w:ind w:left="0"/>
              <w:jc w:val="left"/>
            </w:pPr>
            <w:r>
              <w:t>Adjusting entry for accrued interest expense</w:t>
            </w:r>
          </w:p>
        </w:tc>
        <w:tc>
          <w:tcPr>
            <w:tcW w:w="3600" w:type="dxa"/>
          </w:tcPr>
          <w:p w:rsidR="00981144" w:rsidRDefault="00981144" w:rsidP="00DB6C39">
            <w:pPr>
              <w:pStyle w:val="BodyText"/>
              <w:ind w:left="0"/>
              <w:jc w:val="left"/>
            </w:pPr>
          </w:p>
        </w:tc>
        <w:tc>
          <w:tcPr>
            <w:tcW w:w="3060" w:type="dxa"/>
          </w:tcPr>
          <w:p w:rsidR="00981144" w:rsidRDefault="00981144" w:rsidP="00DB6C39">
            <w:pPr>
              <w:pStyle w:val="BodyText"/>
              <w:ind w:left="0"/>
              <w:jc w:val="left"/>
            </w:pPr>
          </w:p>
        </w:tc>
      </w:tr>
      <w:tr w:rsidR="00981144" w:rsidTr="00DB6C39">
        <w:trPr>
          <w:jc w:val="center"/>
        </w:trPr>
        <w:tc>
          <w:tcPr>
            <w:tcW w:w="3240" w:type="dxa"/>
          </w:tcPr>
          <w:p w:rsidR="00981144" w:rsidRDefault="00981144" w:rsidP="00981144">
            <w:pPr>
              <w:pStyle w:val="BodyText"/>
              <w:ind w:left="0"/>
              <w:jc w:val="left"/>
            </w:pPr>
            <w:r>
              <w:t>Reversing entry for accrued interest expense</w:t>
            </w:r>
          </w:p>
        </w:tc>
        <w:tc>
          <w:tcPr>
            <w:tcW w:w="3600" w:type="dxa"/>
          </w:tcPr>
          <w:p w:rsidR="00981144" w:rsidRDefault="00981144" w:rsidP="00DB6C39">
            <w:pPr>
              <w:pStyle w:val="BodyText"/>
              <w:ind w:left="0"/>
              <w:jc w:val="left"/>
            </w:pPr>
          </w:p>
        </w:tc>
        <w:tc>
          <w:tcPr>
            <w:tcW w:w="3060" w:type="dxa"/>
          </w:tcPr>
          <w:p w:rsidR="00981144" w:rsidRDefault="00981144" w:rsidP="00DB6C39">
            <w:pPr>
              <w:pStyle w:val="BodyText"/>
              <w:ind w:left="0"/>
              <w:jc w:val="left"/>
            </w:pPr>
          </w:p>
        </w:tc>
      </w:tr>
      <w:tr w:rsidR="00981144" w:rsidTr="00DB6C39">
        <w:trPr>
          <w:jc w:val="center"/>
        </w:trPr>
        <w:tc>
          <w:tcPr>
            <w:tcW w:w="3240" w:type="dxa"/>
          </w:tcPr>
          <w:p w:rsidR="00981144" w:rsidRDefault="00981144" w:rsidP="00981144">
            <w:pPr>
              <w:pStyle w:val="BodyText"/>
              <w:ind w:left="0"/>
              <w:jc w:val="left"/>
            </w:pPr>
            <w:r>
              <w:t>Paid cash for the monthly payment on the long-term note payable, plus interest</w:t>
            </w:r>
          </w:p>
        </w:tc>
        <w:tc>
          <w:tcPr>
            <w:tcW w:w="3600" w:type="dxa"/>
          </w:tcPr>
          <w:p w:rsidR="00981144" w:rsidRDefault="00981144" w:rsidP="00DB6C39">
            <w:pPr>
              <w:pStyle w:val="BodyText"/>
              <w:ind w:left="0"/>
              <w:jc w:val="left"/>
            </w:pPr>
          </w:p>
        </w:tc>
        <w:tc>
          <w:tcPr>
            <w:tcW w:w="3060" w:type="dxa"/>
          </w:tcPr>
          <w:p w:rsidR="00981144" w:rsidRDefault="00981144" w:rsidP="00DB6C39">
            <w:pPr>
              <w:pStyle w:val="BodyText"/>
              <w:ind w:left="0"/>
              <w:jc w:val="left"/>
            </w:pPr>
          </w:p>
        </w:tc>
      </w:tr>
    </w:tbl>
    <w:p w:rsidR="00A57D63" w:rsidRPr="00D06831" w:rsidRDefault="00A57D63" w:rsidP="00F06A66">
      <w:pPr>
        <w:pStyle w:val="BodyText"/>
        <w:pBdr>
          <w:top w:val="double" w:sz="4" w:space="1" w:color="auto"/>
          <w:left w:val="double" w:sz="4" w:space="4" w:color="auto"/>
          <w:bottom w:val="double" w:sz="4" w:space="1" w:color="auto"/>
          <w:right w:val="double" w:sz="4" w:space="4" w:color="auto"/>
        </w:pBdr>
        <w:ind w:hanging="720"/>
        <w:jc w:val="left"/>
        <w:rPr>
          <w:b/>
        </w:rPr>
      </w:pPr>
      <w:r w:rsidRPr="00D06831">
        <w:rPr>
          <w:b/>
        </w:rPr>
        <w:t xml:space="preserve">Lesson </w:t>
      </w:r>
      <w:r w:rsidR="0041471C">
        <w:rPr>
          <w:b/>
        </w:rPr>
        <w:t>2</w:t>
      </w:r>
      <w:r w:rsidR="00981144">
        <w:rPr>
          <w:b/>
        </w:rPr>
        <w:t>1</w:t>
      </w:r>
      <w:r w:rsidRPr="00D06831">
        <w:rPr>
          <w:b/>
        </w:rPr>
        <w:t xml:space="preserve">-2 </w:t>
      </w:r>
      <w:r w:rsidR="00BA4966" w:rsidRPr="00D06831">
        <w:rPr>
          <w:b/>
        </w:rPr>
        <w:t xml:space="preserve">– </w:t>
      </w:r>
      <w:r w:rsidR="00981144">
        <w:rPr>
          <w:b/>
        </w:rPr>
        <w:t>Deferrals</w:t>
      </w:r>
      <w:r w:rsidR="0041471C">
        <w:rPr>
          <w:b/>
        </w:rPr>
        <w:t xml:space="preserve"> </w:t>
      </w:r>
      <w:r w:rsidRPr="00D06831">
        <w:rPr>
          <w:b/>
        </w:rPr>
        <w:t xml:space="preserve">(Page </w:t>
      </w:r>
      <w:r w:rsidR="0041471C">
        <w:rPr>
          <w:b/>
        </w:rPr>
        <w:t>6</w:t>
      </w:r>
      <w:r w:rsidR="00981144">
        <w:rPr>
          <w:b/>
        </w:rPr>
        <w:t>58</w:t>
      </w:r>
      <w:r w:rsidRPr="00D06831">
        <w:rPr>
          <w:b/>
        </w:rPr>
        <w:t>)</w:t>
      </w:r>
    </w:p>
    <w:p w:rsidR="00A57D63" w:rsidRPr="00E30CC7" w:rsidRDefault="00A57D63" w:rsidP="00F06A66">
      <w:pPr>
        <w:pStyle w:val="BodyText"/>
        <w:ind w:left="360" w:hanging="360"/>
        <w:jc w:val="left"/>
        <w:rPr>
          <w:b/>
        </w:rPr>
      </w:pPr>
      <w:r w:rsidRPr="00E30CC7">
        <w:rPr>
          <w:b/>
        </w:rPr>
        <w:t xml:space="preserve">Bridge:  </w:t>
      </w:r>
    </w:p>
    <w:p w:rsidR="007F6346" w:rsidRPr="00624D9C" w:rsidRDefault="00624D9C" w:rsidP="00F06A66">
      <w:pPr>
        <w:pStyle w:val="BodyText"/>
        <w:numPr>
          <w:ilvl w:val="0"/>
          <w:numId w:val="13"/>
        </w:numPr>
        <w:spacing w:before="0" w:line="240" w:lineRule="auto"/>
        <w:ind w:left="360"/>
        <w:jc w:val="left"/>
        <w:rPr>
          <w:i/>
        </w:rPr>
      </w:pPr>
      <w:r>
        <w:t xml:space="preserve">Remember a liability is an amount owed.  </w:t>
      </w:r>
      <w:r w:rsidR="007F6346">
        <w:t>What if you receive cash for a service that you will be providing in the future.  Is that a liability?</w:t>
      </w:r>
      <w:r>
        <w:t xml:space="preserve">  Yes, you have the liability of providing a service.</w:t>
      </w:r>
    </w:p>
    <w:p w:rsidR="00624D9C" w:rsidRPr="00624D9C" w:rsidRDefault="00624D9C" w:rsidP="00F06A66">
      <w:pPr>
        <w:pStyle w:val="BodyText"/>
        <w:numPr>
          <w:ilvl w:val="0"/>
          <w:numId w:val="13"/>
        </w:numPr>
        <w:spacing w:before="0" w:line="240" w:lineRule="auto"/>
        <w:ind w:left="360"/>
        <w:jc w:val="left"/>
        <w:rPr>
          <w:i/>
        </w:rPr>
      </w:pPr>
      <w:r>
        <w:t>This lesson covers recording a revenue in advance of a good or service being provided.</w:t>
      </w:r>
    </w:p>
    <w:p w:rsidR="00624D9C" w:rsidRPr="00DF35A0" w:rsidRDefault="00624D9C" w:rsidP="00F06A66">
      <w:pPr>
        <w:pStyle w:val="BodyText"/>
        <w:numPr>
          <w:ilvl w:val="0"/>
          <w:numId w:val="13"/>
        </w:numPr>
        <w:spacing w:before="0" w:line="240" w:lineRule="auto"/>
        <w:ind w:left="360"/>
        <w:jc w:val="left"/>
        <w:rPr>
          <w:i/>
        </w:rPr>
      </w:pPr>
      <w:r>
        <w:t>Yes, you will have to make a related adjusting entry too.</w:t>
      </w:r>
    </w:p>
    <w:p w:rsidR="00DF35A0" w:rsidRPr="007F6346" w:rsidRDefault="00DF35A0" w:rsidP="00F06A66">
      <w:pPr>
        <w:pStyle w:val="BodyText"/>
        <w:numPr>
          <w:ilvl w:val="0"/>
          <w:numId w:val="13"/>
        </w:numPr>
        <w:spacing w:before="0" w:line="240" w:lineRule="auto"/>
        <w:ind w:left="360"/>
        <w:jc w:val="left"/>
        <w:rPr>
          <w:i/>
        </w:rPr>
      </w:pPr>
      <w:r>
        <w:t>Deferred expenses are sometimes called prepaid expenses.</w:t>
      </w:r>
    </w:p>
    <w:p w:rsidR="007F6346" w:rsidRPr="007F6346" w:rsidRDefault="007F6346" w:rsidP="00DF35A0">
      <w:pPr>
        <w:pStyle w:val="BodyText"/>
        <w:spacing w:before="0" w:line="240" w:lineRule="auto"/>
        <w:ind w:left="360"/>
        <w:jc w:val="left"/>
        <w:rPr>
          <w:i/>
        </w:rPr>
      </w:pPr>
    </w:p>
    <w:p w:rsidR="00531CF5" w:rsidRDefault="00531CF5" w:rsidP="00F06A66">
      <w:pPr>
        <w:pStyle w:val="BodyText"/>
        <w:spacing w:before="0" w:line="240" w:lineRule="auto"/>
        <w:ind w:left="360" w:hanging="360"/>
        <w:jc w:val="left"/>
      </w:pPr>
    </w:p>
    <w:p w:rsidR="00A57D63" w:rsidRPr="00045965" w:rsidRDefault="00045965" w:rsidP="00F06A66">
      <w:pPr>
        <w:pStyle w:val="BodyText"/>
        <w:spacing w:before="0" w:line="240" w:lineRule="auto"/>
        <w:ind w:left="360" w:hanging="360"/>
        <w:jc w:val="left"/>
        <w:rPr>
          <w:i/>
        </w:rPr>
      </w:pPr>
      <w:r>
        <w:rPr>
          <w:b/>
        </w:rPr>
        <w:t xml:space="preserve">Reading Guide </w:t>
      </w:r>
      <w:r w:rsidRPr="00045965">
        <w:rPr>
          <w:i/>
        </w:rPr>
        <w:t>(Please key your answer</w:t>
      </w:r>
      <w:r w:rsidR="00AC35CD">
        <w:rPr>
          <w:i/>
        </w:rPr>
        <w:t>s</w:t>
      </w:r>
      <w:r w:rsidRPr="00045965">
        <w:rPr>
          <w:i/>
        </w:rPr>
        <w:t xml:space="preserve"> to the following questions.)</w:t>
      </w:r>
    </w:p>
    <w:p w:rsidR="008A19E4" w:rsidRDefault="00B81386" w:rsidP="00F06A66">
      <w:pPr>
        <w:pStyle w:val="BodyText"/>
        <w:numPr>
          <w:ilvl w:val="0"/>
          <w:numId w:val="14"/>
        </w:numPr>
        <w:ind w:left="360"/>
        <w:jc w:val="left"/>
      </w:pPr>
      <w:r>
        <w:t xml:space="preserve">Please </w:t>
      </w:r>
      <w:r w:rsidR="00DF35A0">
        <w:t>define unearned revenue and give an example.</w:t>
      </w:r>
    </w:p>
    <w:p w:rsidR="00286723" w:rsidRDefault="00DF35A0" w:rsidP="00F06A66">
      <w:pPr>
        <w:pStyle w:val="BodyText"/>
        <w:numPr>
          <w:ilvl w:val="0"/>
          <w:numId w:val="14"/>
        </w:numPr>
        <w:ind w:left="360"/>
        <w:jc w:val="left"/>
      </w:pPr>
      <w:r>
        <w:t>Define deferred expenses and provide an example.</w:t>
      </w:r>
    </w:p>
    <w:p w:rsidR="00286723" w:rsidRDefault="00DF35A0" w:rsidP="00F06A66">
      <w:pPr>
        <w:pStyle w:val="BodyText"/>
        <w:numPr>
          <w:ilvl w:val="0"/>
          <w:numId w:val="14"/>
        </w:numPr>
        <w:ind w:left="360"/>
        <w:jc w:val="left"/>
      </w:pPr>
      <w:r>
        <w:t>Why must adjusting entries for deferred revenue and deferred expenses be recorded at the end of a fiscal period?</w:t>
      </w:r>
    </w:p>
    <w:p w:rsidR="00DF35A0" w:rsidRDefault="00DF35A0" w:rsidP="00DF35A0">
      <w:pPr>
        <w:pStyle w:val="BodyText"/>
        <w:ind w:left="360"/>
        <w:jc w:val="left"/>
      </w:pPr>
    </w:p>
    <w:tbl>
      <w:tblPr>
        <w:tblStyle w:val="TableGrid"/>
        <w:tblW w:w="9900" w:type="dxa"/>
        <w:jc w:val="center"/>
        <w:tblLook w:val="04A0" w:firstRow="1" w:lastRow="0" w:firstColumn="1" w:lastColumn="0" w:noHBand="0" w:noVBand="1"/>
      </w:tblPr>
      <w:tblGrid>
        <w:gridCol w:w="3240"/>
        <w:gridCol w:w="3600"/>
        <w:gridCol w:w="3060"/>
      </w:tblGrid>
      <w:tr w:rsidR="00DF35A0" w:rsidTr="00DB6C39">
        <w:trPr>
          <w:jc w:val="center"/>
        </w:trPr>
        <w:tc>
          <w:tcPr>
            <w:tcW w:w="3240" w:type="dxa"/>
          </w:tcPr>
          <w:p w:rsidR="00DF35A0" w:rsidRPr="00D06831" w:rsidRDefault="00DF35A0" w:rsidP="00DF35A0">
            <w:pPr>
              <w:pStyle w:val="BodyText"/>
              <w:ind w:left="0"/>
              <w:rPr>
                <w:b/>
              </w:rPr>
            </w:pPr>
            <w:r>
              <w:rPr>
                <w:b/>
              </w:rPr>
              <w:t>21</w:t>
            </w:r>
            <w:r w:rsidRPr="00D06831">
              <w:rPr>
                <w:b/>
              </w:rPr>
              <w:t>-</w:t>
            </w:r>
            <w:r>
              <w:rPr>
                <w:b/>
              </w:rPr>
              <w:t>2</w:t>
            </w:r>
            <w:r w:rsidRPr="00D06831">
              <w:rPr>
                <w:b/>
              </w:rPr>
              <w:t xml:space="preserve"> Sample Transactions</w:t>
            </w:r>
          </w:p>
        </w:tc>
        <w:tc>
          <w:tcPr>
            <w:tcW w:w="3600" w:type="dxa"/>
          </w:tcPr>
          <w:p w:rsidR="00DF35A0" w:rsidRPr="00D06831" w:rsidRDefault="00DF35A0" w:rsidP="00DB6C39">
            <w:pPr>
              <w:pStyle w:val="BodyText"/>
              <w:ind w:left="0"/>
              <w:rPr>
                <w:b/>
              </w:rPr>
            </w:pPr>
            <w:r w:rsidRPr="00D06831">
              <w:rPr>
                <w:b/>
              </w:rPr>
              <w:t>Account(s) Debited</w:t>
            </w:r>
          </w:p>
        </w:tc>
        <w:tc>
          <w:tcPr>
            <w:tcW w:w="3060" w:type="dxa"/>
          </w:tcPr>
          <w:p w:rsidR="00DF35A0" w:rsidRPr="00D06831" w:rsidRDefault="00DF35A0" w:rsidP="00DB6C39">
            <w:pPr>
              <w:pStyle w:val="BodyText"/>
              <w:ind w:left="0"/>
              <w:rPr>
                <w:b/>
              </w:rPr>
            </w:pPr>
            <w:r w:rsidRPr="00D06831">
              <w:rPr>
                <w:b/>
              </w:rPr>
              <w:t>Account(s) Credited</w:t>
            </w:r>
          </w:p>
        </w:tc>
      </w:tr>
      <w:tr w:rsidR="00DF35A0" w:rsidTr="00DB6C39">
        <w:trPr>
          <w:jc w:val="center"/>
        </w:trPr>
        <w:tc>
          <w:tcPr>
            <w:tcW w:w="3240" w:type="dxa"/>
          </w:tcPr>
          <w:p w:rsidR="00DF35A0" w:rsidRDefault="00DF35A0" w:rsidP="00DB6C39">
            <w:pPr>
              <w:pStyle w:val="BodyText"/>
              <w:ind w:left="0"/>
              <w:jc w:val="left"/>
            </w:pPr>
            <w:r>
              <w:t>Received cash for three months’ rent in advance.</w:t>
            </w:r>
          </w:p>
        </w:tc>
        <w:tc>
          <w:tcPr>
            <w:tcW w:w="3600" w:type="dxa"/>
          </w:tcPr>
          <w:p w:rsidR="00DF35A0" w:rsidRDefault="00DF35A0" w:rsidP="00DB6C39">
            <w:pPr>
              <w:pStyle w:val="BodyText"/>
              <w:ind w:left="0"/>
              <w:jc w:val="left"/>
            </w:pPr>
          </w:p>
        </w:tc>
        <w:tc>
          <w:tcPr>
            <w:tcW w:w="3060" w:type="dxa"/>
          </w:tcPr>
          <w:p w:rsidR="00DF35A0" w:rsidRDefault="00DF35A0" w:rsidP="00DB6C39">
            <w:pPr>
              <w:pStyle w:val="BodyText"/>
              <w:ind w:left="0"/>
              <w:jc w:val="left"/>
            </w:pPr>
          </w:p>
        </w:tc>
      </w:tr>
      <w:tr w:rsidR="00DF35A0" w:rsidTr="00DB6C39">
        <w:trPr>
          <w:jc w:val="center"/>
        </w:trPr>
        <w:tc>
          <w:tcPr>
            <w:tcW w:w="3240" w:type="dxa"/>
          </w:tcPr>
          <w:p w:rsidR="00DF35A0" w:rsidRDefault="00DF35A0" w:rsidP="00DB6C39">
            <w:pPr>
              <w:pStyle w:val="BodyText"/>
              <w:ind w:left="0"/>
              <w:jc w:val="left"/>
            </w:pPr>
            <w:r>
              <w:t>Record the adjusting entry for deferred revenue earned.</w:t>
            </w:r>
          </w:p>
        </w:tc>
        <w:tc>
          <w:tcPr>
            <w:tcW w:w="3600" w:type="dxa"/>
          </w:tcPr>
          <w:p w:rsidR="00DF35A0" w:rsidRDefault="00DF35A0" w:rsidP="00DB6C39">
            <w:pPr>
              <w:pStyle w:val="BodyText"/>
              <w:ind w:left="0"/>
              <w:jc w:val="left"/>
            </w:pPr>
          </w:p>
        </w:tc>
        <w:tc>
          <w:tcPr>
            <w:tcW w:w="3060" w:type="dxa"/>
          </w:tcPr>
          <w:p w:rsidR="00DF35A0" w:rsidRDefault="00DF35A0" w:rsidP="00DB6C39">
            <w:pPr>
              <w:pStyle w:val="BodyText"/>
              <w:ind w:left="0"/>
              <w:jc w:val="left"/>
            </w:pPr>
          </w:p>
        </w:tc>
      </w:tr>
      <w:tr w:rsidR="00DF35A0" w:rsidTr="00DB6C39">
        <w:trPr>
          <w:jc w:val="center"/>
        </w:trPr>
        <w:tc>
          <w:tcPr>
            <w:tcW w:w="3240" w:type="dxa"/>
          </w:tcPr>
          <w:p w:rsidR="00DF35A0" w:rsidRDefault="00DF35A0" w:rsidP="00DB6C39">
            <w:pPr>
              <w:pStyle w:val="BodyText"/>
              <w:ind w:left="0"/>
              <w:jc w:val="left"/>
            </w:pPr>
            <w:r>
              <w:lastRenderedPageBreak/>
              <w:t>Paid cash for three months’ rent in advance.</w:t>
            </w:r>
          </w:p>
        </w:tc>
        <w:tc>
          <w:tcPr>
            <w:tcW w:w="3600" w:type="dxa"/>
          </w:tcPr>
          <w:p w:rsidR="00DF35A0" w:rsidRDefault="00DF35A0" w:rsidP="00DB6C39">
            <w:pPr>
              <w:pStyle w:val="BodyText"/>
              <w:ind w:left="0"/>
              <w:jc w:val="left"/>
            </w:pPr>
          </w:p>
        </w:tc>
        <w:tc>
          <w:tcPr>
            <w:tcW w:w="3060" w:type="dxa"/>
          </w:tcPr>
          <w:p w:rsidR="00DF35A0" w:rsidRDefault="00DF35A0" w:rsidP="00DB6C39">
            <w:pPr>
              <w:pStyle w:val="BodyText"/>
              <w:ind w:left="0"/>
              <w:jc w:val="left"/>
            </w:pPr>
          </w:p>
        </w:tc>
      </w:tr>
      <w:tr w:rsidR="00DF35A0" w:rsidTr="00DB6C39">
        <w:trPr>
          <w:jc w:val="center"/>
        </w:trPr>
        <w:tc>
          <w:tcPr>
            <w:tcW w:w="3240" w:type="dxa"/>
          </w:tcPr>
          <w:p w:rsidR="00DF35A0" w:rsidRDefault="00DF35A0" w:rsidP="00DF35A0">
            <w:pPr>
              <w:pStyle w:val="BodyText"/>
              <w:ind w:left="0"/>
              <w:jc w:val="left"/>
            </w:pPr>
            <w:r>
              <w:t>Record the adjusting entry for deferred expenses incurred.</w:t>
            </w:r>
          </w:p>
        </w:tc>
        <w:tc>
          <w:tcPr>
            <w:tcW w:w="3600" w:type="dxa"/>
          </w:tcPr>
          <w:p w:rsidR="00DF35A0" w:rsidRDefault="00DF35A0" w:rsidP="00DB6C39">
            <w:pPr>
              <w:pStyle w:val="BodyText"/>
              <w:ind w:left="0"/>
              <w:jc w:val="left"/>
            </w:pPr>
          </w:p>
        </w:tc>
        <w:tc>
          <w:tcPr>
            <w:tcW w:w="3060" w:type="dxa"/>
          </w:tcPr>
          <w:p w:rsidR="00DF35A0" w:rsidRDefault="00DF35A0" w:rsidP="00DB6C39">
            <w:pPr>
              <w:pStyle w:val="BodyText"/>
              <w:ind w:left="0"/>
              <w:jc w:val="left"/>
            </w:pPr>
          </w:p>
        </w:tc>
      </w:tr>
    </w:tbl>
    <w:p w:rsidR="00DF35A0" w:rsidRDefault="00DF35A0" w:rsidP="00DF35A0">
      <w:pPr>
        <w:pStyle w:val="BodyText"/>
        <w:jc w:val="left"/>
      </w:pPr>
    </w:p>
    <w:sectPr w:rsidR="00DF35A0" w:rsidSect="00794B96">
      <w:footerReference w:type="even" r:id="rId10"/>
      <w:footerReference w:type="default" r:id="rId11"/>
      <w:pgSz w:w="12240" w:h="15840" w:code="1"/>
      <w:pgMar w:top="965" w:right="1008" w:bottom="1440" w:left="1267" w:header="72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BE" w:rsidRDefault="00E330BE">
      <w:r>
        <w:separator/>
      </w:r>
    </w:p>
  </w:endnote>
  <w:endnote w:type="continuationSeparator" w:id="0">
    <w:p w:rsidR="00E330BE" w:rsidRDefault="00E3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6" w:rsidRDefault="00BA2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016" w:rsidRDefault="00BA2016">
    <w:pPr>
      <w:pStyle w:val="Footer"/>
    </w:pPr>
  </w:p>
  <w:p w:rsidR="00BA2016" w:rsidRDefault="00BA2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70266"/>
      <w:docPartObj>
        <w:docPartGallery w:val="Page Numbers (Bottom of Page)"/>
        <w:docPartUnique/>
      </w:docPartObj>
    </w:sdtPr>
    <w:sdtEndPr>
      <w:rPr>
        <w:noProof/>
      </w:rPr>
    </w:sdtEndPr>
    <w:sdtContent>
      <w:p w:rsidR="00370DBC" w:rsidRDefault="00370DBC">
        <w:pPr>
          <w:pStyle w:val="Footer"/>
          <w:jc w:val="right"/>
        </w:pPr>
        <w:r>
          <w:fldChar w:fldCharType="begin"/>
        </w:r>
        <w:r>
          <w:instrText xml:space="preserve"> PAGE   \* MERGEFORMAT </w:instrText>
        </w:r>
        <w:r>
          <w:fldChar w:fldCharType="separate"/>
        </w:r>
        <w:r w:rsidR="001142D2">
          <w:rPr>
            <w:noProof/>
          </w:rPr>
          <w:t>1</w:t>
        </w:r>
        <w:r>
          <w:rPr>
            <w:noProof/>
          </w:rPr>
          <w:fldChar w:fldCharType="end"/>
        </w:r>
      </w:p>
    </w:sdtContent>
  </w:sdt>
  <w:p w:rsidR="00BA2016" w:rsidRPr="0088185F" w:rsidRDefault="00BA2016" w:rsidP="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BE" w:rsidRDefault="00E330BE">
      <w:r>
        <w:separator/>
      </w:r>
    </w:p>
  </w:footnote>
  <w:footnote w:type="continuationSeparator" w:id="0">
    <w:p w:rsidR="00E330BE" w:rsidRDefault="00E33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5509A2"/>
    <w:multiLevelType w:val="hybridMultilevel"/>
    <w:tmpl w:val="7A7A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691B70ED"/>
    <w:multiLevelType w:val="hybridMultilevel"/>
    <w:tmpl w:val="155CC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7EF9"/>
    <w:rsid w:val="00025387"/>
    <w:rsid w:val="00045965"/>
    <w:rsid w:val="000D46B9"/>
    <w:rsid w:val="001142D2"/>
    <w:rsid w:val="00273069"/>
    <w:rsid w:val="00286723"/>
    <w:rsid w:val="002D2BB1"/>
    <w:rsid w:val="002E22E0"/>
    <w:rsid w:val="002E3FCB"/>
    <w:rsid w:val="00313034"/>
    <w:rsid w:val="003145E2"/>
    <w:rsid w:val="0034457D"/>
    <w:rsid w:val="0035582B"/>
    <w:rsid w:val="00370DBC"/>
    <w:rsid w:val="00397739"/>
    <w:rsid w:val="00397C8F"/>
    <w:rsid w:val="0041471C"/>
    <w:rsid w:val="004A6DCE"/>
    <w:rsid w:val="004F2030"/>
    <w:rsid w:val="004F4F6C"/>
    <w:rsid w:val="00525B22"/>
    <w:rsid w:val="005310B9"/>
    <w:rsid w:val="00531CF5"/>
    <w:rsid w:val="005B471A"/>
    <w:rsid w:val="00624D9C"/>
    <w:rsid w:val="006A6860"/>
    <w:rsid w:val="006D090F"/>
    <w:rsid w:val="00743FA4"/>
    <w:rsid w:val="0077493C"/>
    <w:rsid w:val="00794B96"/>
    <w:rsid w:val="007D142F"/>
    <w:rsid w:val="007E7865"/>
    <w:rsid w:val="007F6346"/>
    <w:rsid w:val="0088185F"/>
    <w:rsid w:val="00885AED"/>
    <w:rsid w:val="008A19E4"/>
    <w:rsid w:val="008E3465"/>
    <w:rsid w:val="00977EF9"/>
    <w:rsid w:val="00981144"/>
    <w:rsid w:val="009821F7"/>
    <w:rsid w:val="00A57D63"/>
    <w:rsid w:val="00AC264F"/>
    <w:rsid w:val="00AC35CD"/>
    <w:rsid w:val="00B101C0"/>
    <w:rsid w:val="00B1716D"/>
    <w:rsid w:val="00B81386"/>
    <w:rsid w:val="00B968F2"/>
    <w:rsid w:val="00BA2016"/>
    <w:rsid w:val="00BA4966"/>
    <w:rsid w:val="00C56F56"/>
    <w:rsid w:val="00D06831"/>
    <w:rsid w:val="00D80AF0"/>
    <w:rsid w:val="00D82073"/>
    <w:rsid w:val="00DF35A0"/>
    <w:rsid w:val="00E0003B"/>
    <w:rsid w:val="00E30CC7"/>
    <w:rsid w:val="00E330BE"/>
    <w:rsid w:val="00E442BF"/>
    <w:rsid w:val="00ED4A23"/>
    <w:rsid w:val="00F06A66"/>
    <w:rsid w:val="00F16CFB"/>
    <w:rsid w:val="00F6421F"/>
    <w:rsid w:val="00FA0724"/>
    <w:rsid w:val="00FD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1BA66-23A8-4772-9B79-0CA0B2CD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link w:val="FooterChar"/>
    <w:uiPriority w:val="99"/>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customStyle="1" w:styleId="FooterChar">
    <w:name w:val="Footer Char"/>
    <w:basedOn w:val="DefaultParagraphFont"/>
    <w:link w:val="Footer"/>
    <w:uiPriority w:val="99"/>
    <w:rsid w:val="00370DBC"/>
    <w:rPr>
      <w:rFonts w:asciiTheme="minorHAnsi" w:hAnsiTheme="minorHAnsi"/>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458">
      <w:bodyDiv w:val="1"/>
      <w:marLeft w:val="0"/>
      <w:marRight w:val="0"/>
      <w:marTop w:val="0"/>
      <w:marBottom w:val="0"/>
      <w:divBdr>
        <w:top w:val="none" w:sz="0" w:space="0" w:color="auto"/>
        <w:left w:val="none" w:sz="0" w:space="0" w:color="auto"/>
        <w:bottom w:val="none" w:sz="0" w:space="0" w:color="auto"/>
        <w:right w:val="none" w:sz="0" w:space="0" w:color="auto"/>
      </w:divBdr>
      <w:divsChild>
        <w:div w:id="681664974">
          <w:marLeft w:val="0"/>
          <w:marRight w:val="0"/>
          <w:marTop w:val="0"/>
          <w:marBottom w:val="0"/>
          <w:divBdr>
            <w:top w:val="none" w:sz="0" w:space="0" w:color="auto"/>
            <w:left w:val="none" w:sz="0" w:space="0" w:color="auto"/>
            <w:bottom w:val="none" w:sz="0" w:space="0" w:color="auto"/>
            <w:right w:val="none" w:sz="0" w:space="0" w:color="auto"/>
          </w:divBdr>
          <w:divsChild>
            <w:div w:id="697046045">
              <w:marLeft w:val="0"/>
              <w:marRight w:val="0"/>
              <w:marTop w:val="0"/>
              <w:marBottom w:val="0"/>
              <w:divBdr>
                <w:top w:val="none" w:sz="0" w:space="0" w:color="auto"/>
                <w:left w:val="none" w:sz="0" w:space="0" w:color="auto"/>
                <w:bottom w:val="none" w:sz="0" w:space="0" w:color="auto"/>
                <w:right w:val="none" w:sz="0" w:space="0" w:color="auto"/>
              </w:divBdr>
              <w:divsChild>
                <w:div w:id="598417972">
                  <w:marLeft w:val="0"/>
                  <w:marRight w:val="0"/>
                  <w:marTop w:val="195"/>
                  <w:marBottom w:val="0"/>
                  <w:divBdr>
                    <w:top w:val="none" w:sz="0" w:space="0" w:color="auto"/>
                    <w:left w:val="none" w:sz="0" w:space="0" w:color="auto"/>
                    <w:bottom w:val="none" w:sz="0" w:space="0" w:color="auto"/>
                    <w:right w:val="none" w:sz="0" w:space="0" w:color="auto"/>
                  </w:divBdr>
                  <w:divsChild>
                    <w:div w:id="1839079537">
                      <w:marLeft w:val="0"/>
                      <w:marRight w:val="0"/>
                      <w:marTop w:val="0"/>
                      <w:marBottom w:val="180"/>
                      <w:divBdr>
                        <w:top w:val="none" w:sz="0" w:space="0" w:color="auto"/>
                        <w:left w:val="none" w:sz="0" w:space="0" w:color="auto"/>
                        <w:bottom w:val="none" w:sz="0" w:space="0" w:color="auto"/>
                        <w:right w:val="none" w:sz="0" w:space="0" w:color="auto"/>
                      </w:divBdr>
                      <w:divsChild>
                        <w:div w:id="907306354">
                          <w:marLeft w:val="0"/>
                          <w:marRight w:val="0"/>
                          <w:marTop w:val="0"/>
                          <w:marBottom w:val="0"/>
                          <w:divBdr>
                            <w:top w:val="none" w:sz="0" w:space="0" w:color="auto"/>
                            <w:left w:val="none" w:sz="0" w:space="0" w:color="auto"/>
                            <w:bottom w:val="none" w:sz="0" w:space="0" w:color="auto"/>
                            <w:right w:val="none" w:sz="0" w:space="0" w:color="auto"/>
                          </w:divBdr>
                          <w:divsChild>
                            <w:div w:id="1241480212">
                              <w:marLeft w:val="0"/>
                              <w:marRight w:val="0"/>
                              <w:marTop w:val="0"/>
                              <w:marBottom w:val="0"/>
                              <w:divBdr>
                                <w:top w:val="none" w:sz="0" w:space="0" w:color="auto"/>
                                <w:left w:val="none" w:sz="0" w:space="0" w:color="auto"/>
                                <w:bottom w:val="none" w:sz="0" w:space="0" w:color="auto"/>
                                <w:right w:val="none" w:sz="0" w:space="0" w:color="auto"/>
                              </w:divBdr>
                              <w:divsChild>
                                <w:div w:id="90132517">
                                  <w:marLeft w:val="0"/>
                                  <w:marRight w:val="0"/>
                                  <w:marTop w:val="0"/>
                                  <w:marBottom w:val="0"/>
                                  <w:divBdr>
                                    <w:top w:val="none" w:sz="0" w:space="0" w:color="auto"/>
                                    <w:left w:val="none" w:sz="0" w:space="0" w:color="auto"/>
                                    <w:bottom w:val="none" w:sz="0" w:space="0" w:color="auto"/>
                                    <w:right w:val="none" w:sz="0" w:space="0" w:color="auto"/>
                                  </w:divBdr>
                                  <w:divsChild>
                                    <w:div w:id="42759733">
                                      <w:marLeft w:val="0"/>
                                      <w:marRight w:val="0"/>
                                      <w:marTop w:val="0"/>
                                      <w:marBottom w:val="0"/>
                                      <w:divBdr>
                                        <w:top w:val="none" w:sz="0" w:space="0" w:color="auto"/>
                                        <w:left w:val="none" w:sz="0" w:space="0" w:color="auto"/>
                                        <w:bottom w:val="none" w:sz="0" w:space="0" w:color="auto"/>
                                        <w:right w:val="none" w:sz="0" w:space="0" w:color="auto"/>
                                      </w:divBdr>
                                      <w:divsChild>
                                        <w:div w:id="1201013029">
                                          <w:marLeft w:val="0"/>
                                          <w:marRight w:val="0"/>
                                          <w:marTop w:val="0"/>
                                          <w:marBottom w:val="0"/>
                                          <w:divBdr>
                                            <w:top w:val="none" w:sz="0" w:space="0" w:color="auto"/>
                                            <w:left w:val="none" w:sz="0" w:space="0" w:color="auto"/>
                                            <w:bottom w:val="none" w:sz="0" w:space="0" w:color="auto"/>
                                            <w:right w:val="none" w:sz="0" w:space="0" w:color="auto"/>
                                          </w:divBdr>
                                          <w:divsChild>
                                            <w:div w:id="1687444154">
                                              <w:marLeft w:val="0"/>
                                              <w:marRight w:val="0"/>
                                              <w:marTop w:val="0"/>
                                              <w:marBottom w:val="0"/>
                                              <w:divBdr>
                                                <w:top w:val="none" w:sz="0" w:space="0" w:color="auto"/>
                                                <w:left w:val="none" w:sz="0" w:space="0" w:color="auto"/>
                                                <w:bottom w:val="none" w:sz="0" w:space="0" w:color="auto"/>
                                                <w:right w:val="none" w:sz="0" w:space="0" w:color="auto"/>
                                              </w:divBdr>
                                              <w:divsChild>
                                                <w:div w:id="472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docid=bexYd4OiiY4-tM&amp;tbnid=oXbhYEN6wm7AAM:&amp;ved=0CAUQjRw&amp;url=https://www.flickr.com/photos/sampjb/7690680336/&amp;ei=bOLjU9e1F4yVyASd3ICAAQ&amp;bvm=bv.72676100,d.aWw&amp;psig=AFQjCNFXFPcIc_mYGORA2Ijzzt_beGzD3g&amp;ust=140752980364009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D3C305B3A2453D8EC540279BE4AE12"/>
        <w:category>
          <w:name w:val="General"/>
          <w:gallery w:val="placeholder"/>
        </w:category>
        <w:types>
          <w:type w:val="bbPlcHdr"/>
        </w:types>
        <w:behaviors>
          <w:behavior w:val="content"/>
        </w:behaviors>
        <w:guid w:val="{1B9D8C32-6CD5-4ECD-922D-7E571B07A4D6}"/>
      </w:docPartPr>
      <w:docPartBody>
        <w:p w:rsidR="00A909A7" w:rsidRDefault="00026DCE" w:rsidP="00026DCE">
          <w:pPr>
            <w:pStyle w:val="55D3C305B3A2453D8EC540279BE4AE1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CE"/>
    <w:rsid w:val="00026DCE"/>
    <w:rsid w:val="000279E8"/>
    <w:rsid w:val="004B7E9F"/>
    <w:rsid w:val="006E4744"/>
    <w:rsid w:val="00912FF8"/>
    <w:rsid w:val="00A909A7"/>
    <w:rsid w:val="00FB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FE7EEDC1C4D33A655A5CEC31BD6DD">
    <w:name w:val="A95FE7EEDC1C4D33A655A5CEC31BD6DD"/>
  </w:style>
  <w:style w:type="paragraph" w:customStyle="1" w:styleId="40DEBF4CB37548F39D748214040CE648">
    <w:name w:val="40DEBF4CB37548F39D748214040CE648"/>
  </w:style>
  <w:style w:type="paragraph" w:customStyle="1" w:styleId="73652B24D92D46A6A2D7285727040C99">
    <w:name w:val="73652B24D92D46A6A2D7285727040C99"/>
  </w:style>
  <w:style w:type="paragraph" w:customStyle="1" w:styleId="7FEC495E2A9D495C816F12EB212A4D13">
    <w:name w:val="7FEC495E2A9D495C816F12EB212A4D13"/>
  </w:style>
  <w:style w:type="paragraph" w:customStyle="1" w:styleId="46EEA4C9E7EC4A6A8464FC46DFB1DF41">
    <w:name w:val="46EEA4C9E7EC4A6A8464FC46DFB1DF41"/>
  </w:style>
  <w:style w:type="paragraph" w:customStyle="1" w:styleId="3A591B2D918C4824867AF6933AD6F081">
    <w:name w:val="3A591B2D918C4824867AF6933AD6F081"/>
  </w:style>
  <w:style w:type="paragraph" w:customStyle="1" w:styleId="06E3BC4B07A545E5B712B2DF399BB47E">
    <w:name w:val="06E3BC4B07A545E5B712B2DF399BB47E"/>
  </w:style>
  <w:style w:type="paragraph" w:customStyle="1" w:styleId="55D3C305B3A2453D8EC540279BE4AE12">
    <w:name w:val="55D3C305B3A2453D8EC540279BE4AE12"/>
    <w:rsid w:val="0002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"%username%"</dc:creator>
  <cp:keywords/>
  <cp:lastModifiedBy>Jann Cleary</cp:lastModifiedBy>
  <cp:revision>4</cp:revision>
  <dcterms:created xsi:type="dcterms:W3CDTF">2014-08-16T19:01:00Z</dcterms:created>
  <dcterms:modified xsi:type="dcterms:W3CDTF">2017-01-31T11:44:00Z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